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746F52" w:rsidRDefault="00CE0A54" w:rsidP="00CE0A54">
                <w:pPr>
                  <w:bidi w:val="0"/>
                  <w:jc w:val="right"/>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2914D6" w:rsidRDefault="002914D6">
            <w:pPr>
              <w:rPr>
                <w:rFonts w:ascii="Arial" w:hAnsi="Arial"/>
                <w:b/>
                <w:bCs/>
                <w:noProof w:val="0"/>
                <w:sz w:val="26"/>
                <w:szCs w:val="26"/>
              </w:rPr>
            </w:pPr>
          </w:p>
          <w:p w:rsidR="002914D6" w:rsidRDefault="00F22AE0" w:rsidP="000A0378">
            <w:pPr>
              <w:rPr>
                <w:b/>
                <w:bCs/>
                <w:noProof w:val="0"/>
                <w:sz w:val="26"/>
                <w:szCs w:val="26"/>
              </w:rPr>
            </w:pPr>
            <w:sdt>
              <w:sdtPr>
                <w:rPr>
                  <w:rtl/>
                </w:rPr>
                <w:alias w:val="1478"/>
                <w:tag w:val="1478"/>
                <w:id w:val="-893967435"/>
                <w:text w:multiLine="1"/>
              </w:sdtPr>
              <w:sdtEndPr/>
              <w:sdtContent>
                <w:r w:rsidR="000A0378">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sz w:val="22"/>
                  <w:szCs w:val="22"/>
                  <w:rtl/>
                </w:rPr>
                <w:alias w:val="2316"/>
                <w:tag w:val="2316"/>
                <w:id w:val="1719778497"/>
                <w:text w:multiLine="1"/>
              </w:sdtPr>
              <w:sdtEndPr/>
              <w:sdtContent>
                <w:r w:rsidR="000A0378" w:rsidRPr="000A0378">
                  <w:rPr>
                    <w:rFonts w:ascii="Arial" w:hAnsi="Arial" w:hint="cs"/>
                    <w:b/>
                    <w:bCs/>
                    <w:noProof w:val="0"/>
                    <w:sz w:val="22"/>
                    <w:szCs w:val="22"/>
                  </w:rPr>
                  <w:t>XXXXXXXXX</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F22AE0" w:rsidP="00CE0A54">
            <w:pPr>
              <w:rPr>
                <w:rFonts w:ascii="Arial" w:hAnsi="Arial"/>
                <w:b/>
                <w:bCs/>
                <w:noProof w:val="0"/>
                <w:sz w:val="26"/>
                <w:szCs w:val="26"/>
              </w:rPr>
            </w:pPr>
            <w:sdt>
              <w:sdtPr>
                <w:rPr>
                  <w:rtl/>
                </w:rPr>
                <w:alias w:val="1184"/>
                <w:tag w:val="1184"/>
                <w:id w:val="-35981914"/>
                <w:text w:multiLine="1"/>
              </w:sdtPr>
              <w:sdtEndPr/>
              <w:sdtContent>
                <w:r w:rsidR="00CE0A54">
                  <w:rPr>
                    <w:rFonts w:ascii="Arial" w:hAnsi="Arial" w:hint="cs"/>
                    <w:b/>
                    <w:bCs/>
                    <w:noProof w:val="0"/>
                    <w:sz w:val="26"/>
                    <w:szCs w:val="26"/>
                    <w:rtl/>
                  </w:rPr>
                  <w:t>המשיב:</w:t>
                </w:r>
              </w:sdtContent>
            </w:sdt>
          </w:p>
        </w:tc>
        <w:tc>
          <w:tcPr>
            <w:tcW w:w="5571" w:type="dxa"/>
          </w:tcPr>
          <w:p w:rsidR="002914D6" w:rsidRDefault="002914D6">
            <w:pPr>
              <w:rPr>
                <w:rFonts w:ascii="Arial" w:hAnsi="Arial"/>
                <w:b/>
                <w:bCs/>
                <w:noProof w:val="0"/>
                <w:sz w:val="26"/>
                <w:szCs w:val="26"/>
                <w:rtl/>
              </w:rPr>
            </w:pPr>
          </w:p>
          <w:p w:rsidR="002914D6" w:rsidRDefault="00F22AE0" w:rsidP="00CE0A54">
            <w:pPr>
              <w:rPr>
                <w:b/>
                <w:bCs/>
                <w:noProof w:val="0"/>
                <w:sz w:val="26"/>
                <w:szCs w:val="26"/>
                <w:rtl/>
              </w:rPr>
            </w:pPr>
            <w:sdt>
              <w:sdtPr>
                <w:rPr>
                  <w:rtl/>
                </w:rPr>
                <w:alias w:val="1486"/>
                <w:tag w:val="1486"/>
                <w:id w:val="-734459171"/>
                <w:text w:multiLine="1"/>
              </w:sdtPr>
              <w:sdtEndPr/>
              <w:sdtContent>
                <w:r w:rsidR="00521467">
                  <w:rPr>
                    <w:rFonts w:ascii="Arial" w:hAnsi="Arial"/>
                    <w:b/>
                    <w:bCs/>
                    <w:noProof w:val="0"/>
                    <w:sz w:val="26"/>
                    <w:szCs w:val="26"/>
                    <w:rtl/>
                  </w:rPr>
                  <w:t>המוסד לביטוח לאומי</w:t>
                </w:r>
              </w:sdtContent>
            </w:sdt>
            <w:r w:rsidR="00011212">
              <w:rPr>
                <w:rFonts w:ascii="Arial" w:hAnsi="Arial" w:hint="cs"/>
                <w:b/>
                <w:bCs/>
                <w:noProof w:val="0"/>
                <w:sz w:val="26"/>
                <w:szCs w:val="26"/>
                <w:rtl/>
              </w:rPr>
              <w:t xml:space="preserve"> </w:t>
            </w:r>
            <w:sdt>
              <w:sdtPr>
                <w:rPr>
                  <w:rtl/>
                </w:rPr>
                <w:alias w:val="2318"/>
                <w:tag w:val="2318"/>
                <w:id w:val="-2129076223"/>
                <w:showingPlcHdr/>
                <w:text w:multiLine="1"/>
              </w:sdtPr>
              <w:sdtEndPr/>
              <w:sdtContent>
                <w:r w:rsidR="00CE0A54">
                  <w:rPr>
                    <w:rtl/>
                  </w:rPr>
                  <w:t xml:space="preserve">     </w:t>
                </w:r>
              </w:sdtContent>
            </w:sdt>
          </w:p>
        </w:tc>
      </w:tr>
      <w:tr w:rsidR="00F03998" w:rsidTr="00260701">
        <w:trPr>
          <w:jc w:val="center"/>
        </w:trPr>
        <w:tc>
          <w:tcPr>
            <w:tcW w:w="8820" w:type="dxa"/>
            <w:gridSpan w:val="3"/>
          </w:tcPr>
          <w:p w:rsidR="00746F52" w:rsidRDefault="00746F52">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CE0A54" w:rsidRPr="00CE0A54" w:rsidRDefault="00CE0A54" w:rsidP="008E08F7">
      <w:pPr>
        <w:pStyle w:val="ad"/>
        <w:numPr>
          <w:ilvl w:val="0"/>
          <w:numId w:val="1"/>
        </w:numPr>
        <w:spacing w:line="360" w:lineRule="auto"/>
        <w:jc w:val="both"/>
        <w:rPr>
          <w:rFonts w:ascii="David" w:eastAsia="Calibri" w:hAnsi="David"/>
          <w:noProof w:val="0"/>
          <w:sz w:val="22"/>
          <w:szCs w:val="22"/>
        </w:rPr>
      </w:pPr>
      <w:r w:rsidRPr="00CE0A54">
        <w:rPr>
          <w:rFonts w:ascii="David" w:eastAsia="Calibri" w:hAnsi="David"/>
          <w:noProof w:val="0"/>
          <w:sz w:val="22"/>
          <w:szCs w:val="22"/>
          <w:rtl/>
        </w:rPr>
        <w:t xml:space="preserve">המדובר בערעור על החלטת רשמת ההוצאה לפועל (כבוד הרשמת דרמוני-יזדי) מיום 16.8.23. באותה החלטה </w:t>
      </w:r>
      <w:r w:rsidR="008E08F7">
        <w:rPr>
          <w:rFonts w:ascii="David" w:eastAsia="Calibri" w:hAnsi="David" w:hint="cs"/>
          <w:noProof w:val="0"/>
          <w:sz w:val="22"/>
          <w:szCs w:val="22"/>
          <w:rtl/>
        </w:rPr>
        <w:t>נקבע</w:t>
      </w:r>
      <w:r w:rsidRPr="00CE0A54">
        <w:rPr>
          <w:rFonts w:ascii="David" w:eastAsia="Calibri" w:hAnsi="David"/>
          <w:noProof w:val="0"/>
          <w:sz w:val="22"/>
          <w:szCs w:val="22"/>
          <w:rtl/>
        </w:rPr>
        <w:t xml:space="preserve"> צו תשלומים בסך 500 ש"ח עד לחודש דצמבר 2023 ובסך 1,500 ש"ח החל מחודש דצמבר 2023 וכן נקבע כי צו עיכוב היציאה מהארץ שהוצא נגדו יבוטל לצורך נסיעה קונקרטית בהתאם לתנאים שנקבעו בהחלטה קודמת מיום 27.6.23. </w:t>
      </w:r>
    </w:p>
    <w:p w:rsidR="00CE0A54" w:rsidRPr="00CE0A54" w:rsidRDefault="00CE0A54" w:rsidP="00F20687">
      <w:pPr>
        <w:spacing w:line="360" w:lineRule="auto"/>
        <w:contextualSpacing/>
        <w:jc w:val="both"/>
        <w:rPr>
          <w:rFonts w:ascii="David" w:eastAsia="Calibri" w:hAnsi="David"/>
          <w:noProof w:val="0"/>
          <w:sz w:val="22"/>
          <w:szCs w:val="22"/>
          <w:rtl/>
        </w:rPr>
      </w:pPr>
    </w:p>
    <w:p w:rsidR="00602FE6" w:rsidRDefault="00CE0A54" w:rsidP="008F56F1">
      <w:pPr>
        <w:pStyle w:val="ad"/>
        <w:numPr>
          <w:ilvl w:val="0"/>
          <w:numId w:val="1"/>
        </w:numPr>
        <w:spacing w:line="360" w:lineRule="auto"/>
        <w:jc w:val="both"/>
        <w:rPr>
          <w:rFonts w:ascii="Calibri" w:eastAsia="Calibri" w:hAnsi="Calibri"/>
          <w:noProof w:val="0"/>
          <w:sz w:val="22"/>
          <w:szCs w:val="22"/>
        </w:rPr>
      </w:pPr>
      <w:r w:rsidRPr="00EC3835">
        <w:rPr>
          <w:rFonts w:ascii="Calibri" w:eastAsia="Calibri" w:hAnsi="Calibri"/>
          <w:noProof w:val="0"/>
          <w:sz w:val="22"/>
          <w:szCs w:val="22"/>
          <w:rtl/>
        </w:rPr>
        <w:t xml:space="preserve">לאחר העיון בהודעת הערעור, בתגובת המשיב, ובמכלול החומר, ובהתאם לסמכות הקבועה בתקנה 48 לתקנות בית משפט לענייני משפחה (סדרי דין), תשפ"א-2020 ובתקנה 138(א)(5) לתקנות סדר הדין האזרחי, תשע"ט-2018 </w:t>
      </w:r>
      <w:r w:rsidR="00F66D57" w:rsidRPr="00EC3835">
        <w:rPr>
          <w:rFonts w:ascii="Calibri" w:eastAsia="Calibri" w:hAnsi="Calibri" w:hint="cs"/>
          <w:noProof w:val="0"/>
          <w:sz w:val="22"/>
          <w:szCs w:val="22"/>
          <w:rtl/>
        </w:rPr>
        <w:t xml:space="preserve">(וראו גם החלטה מיום </w:t>
      </w:r>
      <w:r w:rsidR="00602FE6" w:rsidRPr="00EC3835">
        <w:rPr>
          <w:rFonts w:ascii="Calibri" w:eastAsia="Calibri" w:hAnsi="Calibri" w:hint="cs"/>
          <w:noProof w:val="0"/>
          <w:sz w:val="22"/>
          <w:szCs w:val="22"/>
          <w:rtl/>
        </w:rPr>
        <w:t xml:space="preserve">14.9.23) </w:t>
      </w:r>
      <w:r w:rsidRPr="00EC3835">
        <w:rPr>
          <w:rFonts w:ascii="Calibri" w:eastAsia="Calibri" w:hAnsi="Calibri"/>
          <w:noProof w:val="0"/>
          <w:sz w:val="22"/>
          <w:szCs w:val="22"/>
          <w:rtl/>
        </w:rPr>
        <w:t xml:space="preserve">סבורני </w:t>
      </w:r>
      <w:r w:rsidR="00602FE6" w:rsidRPr="00EC3835">
        <w:rPr>
          <w:rFonts w:ascii="Calibri" w:eastAsia="Calibri" w:hAnsi="Calibri" w:hint="cs"/>
          <w:noProof w:val="0"/>
          <w:sz w:val="22"/>
          <w:szCs w:val="22"/>
          <w:rtl/>
        </w:rPr>
        <w:t xml:space="preserve">כי יש לדון בערעור על יסוד החומר הכתוב וכי לגופם של דברים </w:t>
      </w:r>
      <w:r w:rsidR="00EC3835" w:rsidRPr="00EC3835">
        <w:rPr>
          <w:rFonts w:ascii="Calibri" w:eastAsia="Calibri" w:hAnsi="Calibri" w:hint="cs"/>
          <w:noProof w:val="0"/>
          <w:sz w:val="22"/>
          <w:szCs w:val="22"/>
          <w:rtl/>
        </w:rPr>
        <w:t xml:space="preserve">יש להיעתר לערעור באופן חלקי וכפי שיפורט. </w:t>
      </w:r>
    </w:p>
    <w:p w:rsidR="00EC3835" w:rsidRPr="00EC3835" w:rsidRDefault="00EC3835" w:rsidP="00EC3835">
      <w:pPr>
        <w:spacing w:line="360" w:lineRule="auto"/>
        <w:jc w:val="both"/>
        <w:rPr>
          <w:rFonts w:ascii="Calibri" w:eastAsia="Calibri" w:hAnsi="Calibri"/>
          <w:noProof w:val="0"/>
          <w:sz w:val="22"/>
          <w:szCs w:val="22"/>
          <w:rtl/>
        </w:rPr>
      </w:pPr>
    </w:p>
    <w:p w:rsidR="00CE0A54" w:rsidRPr="00CE0A54" w:rsidRDefault="00CE0A54" w:rsidP="000A0378">
      <w:pPr>
        <w:pStyle w:val="ad"/>
        <w:numPr>
          <w:ilvl w:val="0"/>
          <w:numId w:val="1"/>
        </w:numPr>
        <w:spacing w:line="360" w:lineRule="auto"/>
        <w:jc w:val="both"/>
        <w:rPr>
          <w:rFonts w:ascii="Calibri" w:eastAsia="Calibri" w:hAnsi="Calibri"/>
          <w:noProof w:val="0"/>
          <w:sz w:val="22"/>
          <w:szCs w:val="22"/>
          <w:rtl/>
        </w:rPr>
      </w:pPr>
      <w:r w:rsidRPr="00CE0A54">
        <w:rPr>
          <w:rFonts w:ascii="Calibri" w:eastAsia="Calibri" w:hAnsi="Calibri"/>
          <w:noProof w:val="0"/>
          <w:sz w:val="22"/>
          <w:szCs w:val="22"/>
          <w:rtl/>
        </w:rPr>
        <w:t xml:space="preserve">כבוד הרשמת קבעה שהחל מחודש דצמבר ישולש צו התשלומים שכן המערער - ששוכר דירת ארבעה חדרים - יכול וצריך לשכור דירה זולה יותר. המשיב בתגובתו תמך בקביעה זו, ציין כי המערער מרוויח "שכר סביר ביותר" שעמד בששת החודשים הראשונים של שנת 2023 על 14,500 ש"ח לחודש, וכן כי מעיון באתרים הרלבנטיים באינטרנט עולה כי "מחיר ממוצע לדירת 3 חדרים </w:t>
      </w:r>
      <w:r w:rsidR="000A0378">
        <w:rPr>
          <w:rFonts w:ascii="Calibri" w:eastAsia="Calibri" w:hAnsi="Calibri" w:hint="cs"/>
          <w:noProof w:val="0"/>
          <w:sz w:val="22"/>
          <w:szCs w:val="22"/>
          <w:rtl/>
        </w:rPr>
        <w:t xml:space="preserve">באותה שכונה </w:t>
      </w:r>
      <w:r w:rsidRPr="00CE0A54">
        <w:rPr>
          <w:rFonts w:ascii="Calibri" w:eastAsia="Calibri" w:hAnsi="Calibri"/>
          <w:noProof w:val="0"/>
          <w:sz w:val="22"/>
          <w:szCs w:val="22"/>
          <w:rtl/>
        </w:rPr>
        <w:t xml:space="preserve">הוא 3,500 ש"ח לחודש". עוד נאמר, </w:t>
      </w:r>
      <w:r w:rsidR="00495EC6">
        <w:rPr>
          <w:rFonts w:ascii="Calibri" w:eastAsia="Calibri" w:hAnsi="Calibri" w:hint="cs"/>
          <w:noProof w:val="0"/>
          <w:sz w:val="22"/>
          <w:szCs w:val="22"/>
          <w:rtl/>
        </w:rPr>
        <w:t xml:space="preserve">כי </w:t>
      </w:r>
      <w:r w:rsidRPr="00CE0A54">
        <w:rPr>
          <w:rFonts w:ascii="Calibri" w:eastAsia="Calibri" w:hAnsi="Calibri"/>
          <w:noProof w:val="0"/>
          <w:sz w:val="22"/>
          <w:szCs w:val="22"/>
          <w:rtl/>
        </w:rPr>
        <w:t>למערער תיק הוצאה לפועל נוסף (אף הוא חוב מזונות לביטוח הלאומי) בו יתרת החוב עומדת על כ-406,000 ש"ח ונטען, כי "רצונו של המערער להותיר את צו התשלומים על סך 500 ש"ח לצד צו תשלומים דומה בתיק השני מביא למסקנה כי למערער אין נכונות לסיים את חובו אי פעם. הרי קיים 560,000 ש"ח חוב! כשהפ</w:t>
      </w:r>
      <w:r w:rsidR="00495EC6">
        <w:rPr>
          <w:rFonts w:ascii="Calibri" w:eastAsia="Calibri" w:hAnsi="Calibri" w:hint="cs"/>
          <w:noProof w:val="0"/>
          <w:sz w:val="22"/>
          <w:szCs w:val="22"/>
          <w:rtl/>
        </w:rPr>
        <w:t>י</w:t>
      </w:r>
      <w:r w:rsidRPr="00CE0A54">
        <w:rPr>
          <w:rFonts w:ascii="Calibri" w:eastAsia="Calibri" w:hAnsi="Calibri"/>
          <w:noProof w:val="0"/>
          <w:sz w:val="22"/>
          <w:szCs w:val="22"/>
          <w:rtl/>
        </w:rPr>
        <w:t xml:space="preserve">רעון הוא 1,000 ש"ח אנו נדרשים ל-560 חודשים כלומר 46 שנים!". </w:t>
      </w:r>
    </w:p>
    <w:p w:rsidR="00CE0A54" w:rsidRPr="00CE0A54" w:rsidRDefault="00CE0A54" w:rsidP="00F20687">
      <w:pPr>
        <w:spacing w:line="360" w:lineRule="auto"/>
        <w:jc w:val="both"/>
        <w:rPr>
          <w:rFonts w:ascii="Calibri" w:eastAsia="Calibri" w:hAnsi="Calibri"/>
          <w:noProof w:val="0"/>
          <w:sz w:val="22"/>
          <w:szCs w:val="22"/>
          <w:rtl/>
        </w:rPr>
      </w:pPr>
    </w:p>
    <w:p w:rsidR="000E7F98" w:rsidRPr="00F343DF" w:rsidRDefault="00CE0A54" w:rsidP="00F343DF">
      <w:pPr>
        <w:pStyle w:val="ad"/>
        <w:numPr>
          <w:ilvl w:val="0"/>
          <w:numId w:val="1"/>
        </w:numPr>
        <w:spacing w:line="360" w:lineRule="auto"/>
        <w:jc w:val="both"/>
        <w:rPr>
          <w:rFonts w:ascii="Calibri" w:eastAsia="Calibri" w:hAnsi="Calibri"/>
          <w:noProof w:val="0"/>
          <w:sz w:val="22"/>
          <w:szCs w:val="22"/>
        </w:rPr>
      </w:pPr>
      <w:r w:rsidRPr="00F343DF">
        <w:rPr>
          <w:rFonts w:ascii="Calibri" w:eastAsia="Calibri" w:hAnsi="Calibri"/>
          <w:noProof w:val="0"/>
          <w:sz w:val="22"/>
          <w:szCs w:val="22"/>
          <w:rtl/>
        </w:rPr>
        <w:t xml:space="preserve">צודק המערער בכך ששכרו נטו </w:t>
      </w:r>
      <w:r w:rsidR="00E9711A" w:rsidRPr="00F343DF">
        <w:rPr>
          <w:rFonts w:ascii="Calibri" w:eastAsia="Calibri" w:hAnsi="Calibri" w:hint="cs"/>
          <w:noProof w:val="0"/>
          <w:sz w:val="22"/>
          <w:szCs w:val="22"/>
          <w:rtl/>
        </w:rPr>
        <w:t>-</w:t>
      </w:r>
      <w:r w:rsidRPr="00F343DF">
        <w:rPr>
          <w:rFonts w:ascii="Calibri" w:eastAsia="Calibri" w:hAnsi="Calibri"/>
          <w:noProof w:val="0"/>
          <w:sz w:val="22"/>
          <w:szCs w:val="22"/>
          <w:rtl/>
        </w:rPr>
        <w:t xml:space="preserve"> ו</w:t>
      </w:r>
      <w:r w:rsidR="00E9711A" w:rsidRPr="00F343DF">
        <w:rPr>
          <w:rFonts w:ascii="Calibri" w:eastAsia="Calibri" w:hAnsi="Calibri" w:hint="cs"/>
          <w:noProof w:val="0"/>
          <w:sz w:val="22"/>
          <w:szCs w:val="22"/>
          <w:rtl/>
        </w:rPr>
        <w:t xml:space="preserve">ביסוד הדברים </w:t>
      </w:r>
      <w:r w:rsidRPr="00F343DF">
        <w:rPr>
          <w:rFonts w:ascii="Calibri" w:eastAsia="Calibri" w:hAnsi="Calibri"/>
          <w:noProof w:val="0"/>
          <w:sz w:val="22"/>
          <w:szCs w:val="22"/>
          <w:rtl/>
        </w:rPr>
        <w:t>הוא הרלבנטי לתשלום שכר דירה ולתשלום חובות - עמד בששת החודשים הראשונים של שנת 2023 על כ-</w:t>
      </w:r>
      <w:r w:rsidR="00495EC6" w:rsidRPr="00F343DF">
        <w:rPr>
          <w:rFonts w:ascii="Calibri" w:eastAsia="Calibri" w:hAnsi="Calibri" w:hint="cs"/>
          <w:noProof w:val="0"/>
          <w:sz w:val="22"/>
          <w:szCs w:val="22"/>
          <w:rtl/>
        </w:rPr>
        <w:t>9,000</w:t>
      </w:r>
      <w:r w:rsidRPr="00F343DF">
        <w:rPr>
          <w:rFonts w:ascii="Calibri" w:eastAsia="Calibri" w:hAnsi="Calibri"/>
          <w:noProof w:val="0"/>
          <w:sz w:val="22"/>
          <w:szCs w:val="22"/>
          <w:rtl/>
        </w:rPr>
        <w:t xml:space="preserve"> ש"ח </w:t>
      </w:r>
      <w:r w:rsidR="00522852" w:rsidRPr="00F343DF">
        <w:rPr>
          <w:rFonts w:ascii="Calibri" w:eastAsia="Calibri" w:hAnsi="Calibri" w:hint="cs"/>
          <w:noProof w:val="0"/>
          <w:sz w:val="22"/>
          <w:szCs w:val="22"/>
          <w:rtl/>
        </w:rPr>
        <w:t>(המשיב לכאורה התייחס לשכר ברוטו כולל</w:t>
      </w:r>
      <w:r w:rsidR="00E9711A" w:rsidRPr="00F343DF">
        <w:rPr>
          <w:rFonts w:ascii="Calibri" w:eastAsia="Calibri" w:hAnsi="Calibri" w:hint="cs"/>
          <w:noProof w:val="0"/>
          <w:sz w:val="22"/>
          <w:szCs w:val="22"/>
          <w:rtl/>
        </w:rPr>
        <w:t xml:space="preserve"> גילום</w:t>
      </w:r>
      <w:r w:rsidR="00522852" w:rsidRPr="00F343DF">
        <w:rPr>
          <w:rFonts w:ascii="Calibri" w:eastAsia="Calibri" w:hAnsi="Calibri" w:hint="cs"/>
          <w:noProof w:val="0"/>
          <w:sz w:val="22"/>
          <w:szCs w:val="22"/>
          <w:rtl/>
        </w:rPr>
        <w:t xml:space="preserve"> </w:t>
      </w:r>
      <w:r w:rsidR="00E9711A" w:rsidRPr="00F343DF">
        <w:rPr>
          <w:rFonts w:ascii="Calibri" w:eastAsia="Calibri" w:hAnsi="Calibri" w:hint="cs"/>
          <w:noProof w:val="0"/>
          <w:sz w:val="22"/>
          <w:szCs w:val="22"/>
          <w:rtl/>
        </w:rPr>
        <w:t>שווי רכב).</w:t>
      </w:r>
      <w:r w:rsidRPr="00F343DF">
        <w:rPr>
          <w:rFonts w:ascii="Calibri" w:eastAsia="Calibri" w:hAnsi="Calibri"/>
          <w:noProof w:val="0"/>
          <w:sz w:val="22"/>
          <w:szCs w:val="22"/>
          <w:rtl/>
        </w:rPr>
        <w:t xml:space="preserve"> עוד צודק המערער בטענה לפיה שכר הדירה שהוא משלם איננו 5,000 ש"ח כפי שנאמר בהחלטה</w:t>
      </w:r>
      <w:r w:rsidR="00DF74E4" w:rsidRPr="00F343DF">
        <w:rPr>
          <w:rFonts w:ascii="Calibri" w:eastAsia="Calibri" w:hAnsi="Calibri" w:hint="cs"/>
          <w:noProof w:val="0"/>
          <w:sz w:val="22"/>
          <w:szCs w:val="22"/>
          <w:rtl/>
        </w:rPr>
        <w:t xml:space="preserve"> (בעקבות האמור בבקשה עצמה) </w:t>
      </w:r>
      <w:r w:rsidRPr="00F343DF">
        <w:rPr>
          <w:rFonts w:ascii="Calibri" w:eastAsia="Calibri" w:hAnsi="Calibri"/>
          <w:noProof w:val="0"/>
          <w:sz w:val="22"/>
          <w:szCs w:val="22"/>
          <w:rtl/>
        </w:rPr>
        <w:t xml:space="preserve">אלא 4,700 ש"ח (כך עולה גם מהחוזה) </w:t>
      </w:r>
      <w:r w:rsidRPr="00F343DF">
        <w:rPr>
          <w:rFonts w:ascii="Calibri" w:eastAsia="Calibri" w:hAnsi="Calibri"/>
          <w:noProof w:val="0"/>
          <w:sz w:val="22"/>
          <w:szCs w:val="22"/>
          <w:rtl/>
        </w:rPr>
        <w:lastRenderedPageBreak/>
        <w:t xml:space="preserve">כאשר מעבר לכך הוא משלם 300 ש"ח נוספים לבעל </w:t>
      </w:r>
      <w:r w:rsidR="00E9711A" w:rsidRPr="00F343DF">
        <w:rPr>
          <w:rFonts w:ascii="Calibri" w:eastAsia="Calibri" w:hAnsi="Calibri" w:hint="cs"/>
          <w:noProof w:val="0"/>
          <w:sz w:val="22"/>
          <w:szCs w:val="22"/>
          <w:rtl/>
        </w:rPr>
        <w:t>הדירה</w:t>
      </w:r>
      <w:r w:rsidRPr="00F343DF">
        <w:rPr>
          <w:rFonts w:ascii="Calibri" w:eastAsia="Calibri" w:hAnsi="Calibri"/>
          <w:noProof w:val="0"/>
          <w:sz w:val="22"/>
          <w:szCs w:val="22"/>
          <w:rtl/>
        </w:rPr>
        <w:t xml:space="preserve"> לסילוק חוב עבר שהצטבר בתקופת הקורונה. אפילו נקבל לצורך הדיון את טענת המשיב</w:t>
      </w:r>
      <w:r w:rsidR="00E9711A" w:rsidRPr="00F343DF">
        <w:rPr>
          <w:rFonts w:ascii="Calibri" w:eastAsia="Calibri" w:hAnsi="Calibri" w:hint="cs"/>
          <w:noProof w:val="0"/>
          <w:sz w:val="22"/>
          <w:szCs w:val="22"/>
          <w:rtl/>
        </w:rPr>
        <w:t>,</w:t>
      </w:r>
      <w:r w:rsidRPr="00F343DF">
        <w:rPr>
          <w:rFonts w:ascii="Calibri" w:eastAsia="Calibri" w:hAnsi="Calibri"/>
          <w:noProof w:val="0"/>
          <w:sz w:val="22"/>
          <w:szCs w:val="22"/>
          <w:rtl/>
        </w:rPr>
        <w:t xml:space="preserve"> לפיה מחיר ממוצע לדירת שלושה חדרים באותו האזור עומד על 3,500 ש"ח עולה השאלה, האם יש מקום להורות לאדם כבן 68 </w:t>
      </w:r>
      <w:r w:rsidR="001B509C" w:rsidRPr="00F343DF">
        <w:rPr>
          <w:rFonts w:ascii="Calibri" w:eastAsia="Calibri" w:hAnsi="Calibri" w:hint="cs"/>
          <w:noProof w:val="0"/>
          <w:sz w:val="22"/>
          <w:szCs w:val="22"/>
          <w:rtl/>
        </w:rPr>
        <w:t xml:space="preserve">(אשר ממשיך לעבוד גם לאחר גיל פרישה) </w:t>
      </w:r>
      <w:r w:rsidRPr="00F343DF">
        <w:rPr>
          <w:rFonts w:ascii="Calibri" w:eastAsia="Calibri" w:hAnsi="Calibri"/>
          <w:noProof w:val="0"/>
          <w:sz w:val="22"/>
          <w:szCs w:val="22"/>
          <w:rtl/>
        </w:rPr>
        <w:t>שרק לאחרונה סיים הליכי פשיטת רגל</w:t>
      </w:r>
      <w:r w:rsidR="00E9711A" w:rsidRPr="00F343DF">
        <w:rPr>
          <w:rFonts w:ascii="Calibri" w:eastAsia="Calibri" w:hAnsi="Calibri" w:hint="cs"/>
          <w:noProof w:val="0"/>
          <w:sz w:val="22"/>
          <w:szCs w:val="22"/>
          <w:rtl/>
        </w:rPr>
        <w:t xml:space="preserve"> ואשר הוצגו גם אסמכתאות לגבי מצבו הבריאותי </w:t>
      </w:r>
      <w:r w:rsidRPr="00F343DF">
        <w:rPr>
          <w:rFonts w:ascii="Calibri" w:eastAsia="Calibri" w:hAnsi="Calibri"/>
          <w:noProof w:val="0"/>
          <w:sz w:val="22"/>
          <w:szCs w:val="22"/>
          <w:rtl/>
        </w:rPr>
        <w:t>לחפש דירה אחרת באותו אזור (המערער טען שהוא שוכר דירה ליד ילדיו</w:t>
      </w:r>
      <w:r w:rsidR="002C66B5" w:rsidRPr="00F343DF">
        <w:rPr>
          <w:rFonts w:ascii="Calibri" w:eastAsia="Calibri" w:hAnsi="Calibri" w:hint="cs"/>
          <w:noProof w:val="0"/>
          <w:sz w:val="22"/>
          <w:szCs w:val="22"/>
          <w:rtl/>
        </w:rPr>
        <w:t xml:space="preserve"> המסייעים לו כלכלית</w:t>
      </w:r>
      <w:r w:rsidR="00F343DF" w:rsidRPr="00F343DF">
        <w:rPr>
          <w:rFonts w:ascii="Calibri" w:eastAsia="Calibri" w:hAnsi="Calibri" w:hint="cs"/>
          <w:noProof w:val="0"/>
          <w:sz w:val="22"/>
          <w:szCs w:val="22"/>
          <w:rtl/>
        </w:rPr>
        <w:t>, מארחים אותו ותומכים בו "בעתות בהן הוא אינו חש בטוב")</w:t>
      </w:r>
      <w:r w:rsidRPr="00F343DF">
        <w:rPr>
          <w:rFonts w:ascii="Calibri" w:eastAsia="Calibri" w:hAnsi="Calibri"/>
          <w:noProof w:val="0"/>
          <w:sz w:val="22"/>
          <w:szCs w:val="22"/>
          <w:rtl/>
        </w:rPr>
        <w:t xml:space="preserve"> כדי להגדיל את הכנסות הפנויה בכ-1,200 ש"ח כאשר לעצם המעבר יכולות ל</w:t>
      </w:r>
      <w:r w:rsidR="00CE6738">
        <w:rPr>
          <w:rFonts w:ascii="Calibri" w:eastAsia="Calibri" w:hAnsi="Calibri"/>
          <w:noProof w:val="0"/>
          <w:sz w:val="22"/>
          <w:szCs w:val="22"/>
          <w:rtl/>
        </w:rPr>
        <w:t>היות עלויות שונות לרבות כספיות</w:t>
      </w:r>
      <w:r w:rsidR="00CF7D14">
        <w:rPr>
          <w:rFonts w:ascii="Calibri" w:eastAsia="Calibri" w:hAnsi="Calibri" w:hint="cs"/>
          <w:noProof w:val="0"/>
          <w:sz w:val="22"/>
          <w:szCs w:val="22"/>
          <w:rtl/>
        </w:rPr>
        <w:t>.</w:t>
      </w:r>
    </w:p>
    <w:p w:rsidR="00DB3D75" w:rsidRPr="00DB3D75" w:rsidRDefault="00DB3D75" w:rsidP="00DB3D75">
      <w:pPr>
        <w:pStyle w:val="ad"/>
        <w:rPr>
          <w:rFonts w:ascii="Calibri" w:eastAsia="Calibri" w:hAnsi="Calibri"/>
          <w:noProof w:val="0"/>
          <w:sz w:val="22"/>
          <w:szCs w:val="22"/>
          <w:rtl/>
        </w:rPr>
      </w:pPr>
    </w:p>
    <w:p w:rsidR="00DB3D75" w:rsidRPr="00E9711A" w:rsidRDefault="00DB3D75" w:rsidP="00671639">
      <w:pPr>
        <w:pStyle w:val="ad"/>
        <w:numPr>
          <w:ilvl w:val="0"/>
          <w:numId w:val="1"/>
        </w:numPr>
        <w:spacing w:line="360" w:lineRule="auto"/>
        <w:jc w:val="both"/>
        <w:rPr>
          <w:rFonts w:ascii="Calibri" w:eastAsia="Calibri" w:hAnsi="Calibri"/>
          <w:noProof w:val="0"/>
          <w:sz w:val="22"/>
          <w:szCs w:val="22"/>
        </w:rPr>
      </w:pPr>
      <w:r w:rsidRPr="00E9711A">
        <w:rPr>
          <w:rFonts w:ascii="Calibri" w:eastAsia="Calibri" w:hAnsi="Calibri" w:hint="cs"/>
          <w:noProof w:val="0"/>
          <w:sz w:val="22"/>
          <w:szCs w:val="22"/>
          <w:rtl/>
        </w:rPr>
        <w:t xml:space="preserve">ויודגש: קו החשיבה וההנמקה של כבוד הרשמת ברור ונכון לגופו. לא יתכן חולק, שאדם שחייב סכומים משמעותיים אינו יכול לבחור להתגורר במגורי יוקרה ולטעון להעדרה של הכנסה פנויה. השאלה היא כמובן שאלה של מידה: אך סביר שרשם הוצאה לפועל יורה לאדם שבוחר לשכור דירת פאר על שפת הים למצוא מגורים זולים יותר ולהגדיל את יכולת ההחזר באופן משמעותי; מנגד, אין זה סביר להורות לאדם שגם כך מתגורר בדירה פשוטה וזולה לחפש דירה מעט יותר זולה, ובכך להגדיל את יכולת </w:t>
      </w:r>
      <w:r w:rsidR="00DC2696" w:rsidRPr="00E9711A">
        <w:rPr>
          <w:rFonts w:ascii="Calibri" w:eastAsia="Calibri" w:hAnsi="Calibri" w:hint="cs"/>
          <w:noProof w:val="0"/>
          <w:sz w:val="22"/>
          <w:szCs w:val="22"/>
          <w:rtl/>
        </w:rPr>
        <w:t xml:space="preserve">ההחזר באופן זניח. אינני סבור שהמקרה שלפנינו נופל באופן מובהק באחד הקצוות. ואולם, בשים לב לנסיבות האישיות, לכך </w:t>
      </w:r>
      <w:r w:rsidR="009C4074" w:rsidRPr="00E9711A">
        <w:rPr>
          <w:rFonts w:ascii="Calibri" w:eastAsia="Calibri" w:hAnsi="Calibri" w:hint="cs"/>
          <w:noProof w:val="0"/>
          <w:sz w:val="22"/>
          <w:szCs w:val="22"/>
          <w:rtl/>
        </w:rPr>
        <w:t>שדמי השכירות עומדים על 4,700 ש"ח לחודש (ולא על 5,000 ש"ח כפי שהניחה כבוד הרשמת)</w:t>
      </w:r>
      <w:r w:rsidR="00050430" w:rsidRPr="00E9711A">
        <w:rPr>
          <w:rFonts w:ascii="Calibri" w:eastAsia="Calibri" w:hAnsi="Calibri" w:hint="cs"/>
          <w:noProof w:val="0"/>
          <w:sz w:val="22"/>
          <w:szCs w:val="22"/>
          <w:rtl/>
        </w:rPr>
        <w:t xml:space="preserve"> להיקף </w:t>
      </w:r>
      <w:r w:rsidR="00537C7D" w:rsidRPr="00E9711A">
        <w:rPr>
          <w:rFonts w:ascii="Calibri" w:eastAsia="Calibri" w:hAnsi="Calibri" w:hint="cs"/>
          <w:noProof w:val="0"/>
          <w:sz w:val="22"/>
          <w:szCs w:val="22"/>
          <w:rtl/>
        </w:rPr>
        <w:t xml:space="preserve">הסכום שיתפנה (בשים לב לטענות המשיב לגבי דמי השכירות הראויים לדירה קטנה יותר אף אם נקבל לגופן) סבורני כי ניתן היה להטות את כף גם לצד שכנגד. </w:t>
      </w:r>
    </w:p>
    <w:p w:rsidR="00537C7D" w:rsidRPr="00671639" w:rsidRDefault="00537C7D" w:rsidP="00537C7D">
      <w:pPr>
        <w:pStyle w:val="ad"/>
        <w:rPr>
          <w:rFonts w:ascii="Calibri" w:eastAsia="Calibri" w:hAnsi="Calibri"/>
          <w:noProof w:val="0"/>
          <w:sz w:val="22"/>
          <w:szCs w:val="22"/>
          <w:rtl/>
        </w:rPr>
      </w:pPr>
    </w:p>
    <w:p w:rsidR="00187C26" w:rsidRDefault="00537C7D" w:rsidP="00671639">
      <w:pPr>
        <w:pStyle w:val="ad"/>
        <w:numPr>
          <w:ilvl w:val="0"/>
          <w:numId w:val="1"/>
        </w:numPr>
        <w:spacing w:line="360" w:lineRule="auto"/>
        <w:jc w:val="both"/>
        <w:rPr>
          <w:rFonts w:ascii="Calibri" w:eastAsia="Calibri" w:hAnsi="Calibri"/>
          <w:noProof w:val="0"/>
          <w:sz w:val="22"/>
          <w:szCs w:val="22"/>
        </w:rPr>
      </w:pPr>
      <w:r>
        <w:rPr>
          <w:rFonts w:ascii="Calibri" w:eastAsia="Calibri" w:hAnsi="Calibri" w:hint="cs"/>
          <w:noProof w:val="0"/>
          <w:sz w:val="22"/>
          <w:szCs w:val="22"/>
          <w:rtl/>
        </w:rPr>
        <w:t>לא למותר לציין, כי במסגרת התיק הנוסף של החייב, שם עומד החוב על מעל 400,000 ש"ח ניתן בשנת 2021 צו תשלומים בגובה 700 ש"ח לחודש. גם באותה החלטה (מיום 6.1.21) התייחס כבוד הרשם לכך ש-"מדובר בשכר דירה גבוה מאוד ביחס ליכולתו הכלכלית של החייב ועליו לפעול לצורך צמצום הוצאה זו במי</w:t>
      </w:r>
      <w:r w:rsidR="00187C26">
        <w:rPr>
          <w:rFonts w:ascii="Calibri" w:eastAsia="Calibri" w:hAnsi="Calibri" w:hint="cs"/>
          <w:noProof w:val="0"/>
          <w:sz w:val="22"/>
          <w:szCs w:val="22"/>
          <w:rtl/>
        </w:rPr>
        <w:t>דה ניכרת" אך גם אם קבע צו תשלומים שמחייב את המערער לצמצם את הוצאותיו במקום זה או אחר ה</w:t>
      </w:r>
      <w:r w:rsidR="00671639">
        <w:rPr>
          <w:rFonts w:ascii="Calibri" w:eastAsia="Calibri" w:hAnsi="Calibri" w:hint="cs"/>
          <w:noProof w:val="0"/>
          <w:sz w:val="22"/>
          <w:szCs w:val="22"/>
          <w:rtl/>
        </w:rPr>
        <w:t>וא הועמד</w:t>
      </w:r>
      <w:r w:rsidR="00187C26">
        <w:rPr>
          <w:rFonts w:ascii="Calibri" w:eastAsia="Calibri" w:hAnsi="Calibri" w:hint="cs"/>
          <w:noProof w:val="0"/>
          <w:sz w:val="22"/>
          <w:szCs w:val="22"/>
          <w:rtl/>
        </w:rPr>
        <w:t xml:space="preserve"> על סכום שעדיין אינו מחייב החלפת מקום מגורים. סבורני כי </w:t>
      </w:r>
      <w:r w:rsidR="00D94112">
        <w:rPr>
          <w:rFonts w:ascii="Calibri" w:eastAsia="Calibri" w:hAnsi="Calibri" w:hint="cs"/>
          <w:noProof w:val="0"/>
          <w:sz w:val="22"/>
          <w:szCs w:val="22"/>
          <w:rtl/>
        </w:rPr>
        <w:t>זהו האיזון</w:t>
      </w:r>
      <w:r w:rsidR="00187C26">
        <w:rPr>
          <w:rFonts w:ascii="Calibri" w:eastAsia="Calibri" w:hAnsi="Calibri" w:hint="cs"/>
          <w:noProof w:val="0"/>
          <w:sz w:val="22"/>
          <w:szCs w:val="22"/>
          <w:rtl/>
        </w:rPr>
        <w:t xml:space="preserve"> שראוי לנקוט גם בתיק זה. </w:t>
      </w:r>
    </w:p>
    <w:p w:rsidR="00187C26" w:rsidRPr="00187C26" w:rsidRDefault="00187C26" w:rsidP="00187C26">
      <w:pPr>
        <w:spacing w:line="360" w:lineRule="auto"/>
        <w:jc w:val="both"/>
        <w:rPr>
          <w:rFonts w:ascii="Calibri" w:eastAsia="Calibri" w:hAnsi="Calibri"/>
          <w:noProof w:val="0"/>
          <w:sz w:val="22"/>
          <w:szCs w:val="22"/>
        </w:rPr>
      </w:pPr>
    </w:p>
    <w:p w:rsidR="00CE0A54" w:rsidRPr="00671639" w:rsidRDefault="00187C26" w:rsidP="00F729E1">
      <w:pPr>
        <w:pStyle w:val="ad"/>
        <w:numPr>
          <w:ilvl w:val="0"/>
          <w:numId w:val="1"/>
        </w:numPr>
        <w:spacing w:line="360" w:lineRule="auto"/>
        <w:jc w:val="both"/>
        <w:rPr>
          <w:rFonts w:ascii="Calibri" w:eastAsia="Calibri" w:hAnsi="Calibri"/>
          <w:noProof w:val="0"/>
          <w:sz w:val="22"/>
          <w:szCs w:val="22"/>
          <w:rtl/>
        </w:rPr>
      </w:pPr>
      <w:r w:rsidRPr="00671639">
        <w:rPr>
          <w:rFonts w:ascii="Calibri" w:eastAsia="Calibri" w:hAnsi="Calibri" w:hint="cs"/>
          <w:noProof w:val="0"/>
          <w:sz w:val="22"/>
          <w:szCs w:val="22"/>
          <w:rtl/>
        </w:rPr>
        <w:t xml:space="preserve">בנוסף, </w:t>
      </w:r>
      <w:r w:rsidR="00CE0A54" w:rsidRPr="00671639">
        <w:rPr>
          <w:rFonts w:ascii="Calibri" w:eastAsia="Calibri" w:hAnsi="Calibri"/>
          <w:noProof w:val="0"/>
          <w:sz w:val="22"/>
          <w:szCs w:val="22"/>
          <w:rtl/>
        </w:rPr>
        <w:t xml:space="preserve">דומה כי ההחלטה אינה מביאה בחשבון את העובדה שבתיק הנוסף נקבע צו תשלומים בגובה 700 ש"ח </w:t>
      </w:r>
      <w:r w:rsidR="00671639" w:rsidRPr="00671639">
        <w:rPr>
          <w:rFonts w:ascii="Calibri" w:eastAsia="Calibri" w:hAnsi="Calibri" w:hint="cs"/>
          <w:noProof w:val="0"/>
          <w:sz w:val="22"/>
          <w:szCs w:val="22"/>
          <w:rtl/>
        </w:rPr>
        <w:t xml:space="preserve">כך שהכנסתו הפנויה של המערער נמוכה מזו שתוארה בהחלטה. האחריות לכך מונחת כמובן לפתחו של המערער ששכח להתייחס להוצאה זו במסגרת הבקשה לצו תשלומים (וראו סעיף 4 לתגובת המערער מיום 27.11.23). עם זאת, אף שהדבר לא נטען בפני הערכאה הראשונה סבורני כי יש להתייחס לכך במסגרת הדיון בערעור בפרט בשים לב לכך שמדובר בהוצאה חודשית קבועה שנקבעה בהחלטה שיפוטית והוצגו אסמכתאות לגבי תשלומה (ולא בהוצאה "פרטית" שמועלית לראשונה בערעור). </w:t>
      </w:r>
      <w:r w:rsidR="00CE0A54" w:rsidRPr="00671639">
        <w:rPr>
          <w:rFonts w:ascii="Calibri" w:eastAsia="Calibri" w:hAnsi="Calibri"/>
          <w:noProof w:val="0"/>
          <w:sz w:val="22"/>
          <w:szCs w:val="22"/>
          <w:rtl/>
        </w:rPr>
        <w:t xml:space="preserve">אפילו אם ישכור המערער דירה תמורת 3,500 ש"ח עדיין ספק אם יש מקום לחייבו להחזיר סך כולל של 2,200 ש"ח לחודש בשני התיקים יחדיו.  </w:t>
      </w:r>
    </w:p>
    <w:p w:rsidR="00CE0A54" w:rsidRPr="00CE0A54" w:rsidRDefault="00CE0A54" w:rsidP="00F20687">
      <w:pPr>
        <w:spacing w:line="360" w:lineRule="auto"/>
        <w:jc w:val="both"/>
        <w:rPr>
          <w:rFonts w:ascii="Calibri" w:eastAsia="Calibri" w:hAnsi="Calibri"/>
          <w:noProof w:val="0"/>
          <w:sz w:val="22"/>
          <w:szCs w:val="22"/>
          <w:rtl/>
        </w:rPr>
      </w:pPr>
    </w:p>
    <w:p w:rsidR="004900DA" w:rsidRDefault="00CE0A54" w:rsidP="009702DD">
      <w:pPr>
        <w:pStyle w:val="ad"/>
        <w:numPr>
          <w:ilvl w:val="0"/>
          <w:numId w:val="1"/>
        </w:numPr>
        <w:spacing w:line="360" w:lineRule="auto"/>
        <w:jc w:val="both"/>
        <w:rPr>
          <w:rFonts w:ascii="Calibri" w:eastAsia="Calibri" w:hAnsi="Calibri"/>
          <w:noProof w:val="0"/>
          <w:sz w:val="22"/>
          <w:szCs w:val="22"/>
        </w:rPr>
      </w:pPr>
      <w:r w:rsidRPr="00CE0A54">
        <w:rPr>
          <w:rFonts w:ascii="Calibri" w:eastAsia="Calibri" w:hAnsi="Calibri"/>
          <w:noProof w:val="0"/>
          <w:sz w:val="22"/>
          <w:szCs w:val="22"/>
          <w:rtl/>
        </w:rPr>
        <w:t xml:space="preserve">כאמור, בתיק הנוסף ניתן צו תשלומים של 700 ש"ח. מעבר לשאלת האחידות (בפרט בשים לב לכך שבתיק הנוסף החוב יותר מכפול) סבורני כי גם לגופם של דברים יש לקבוע סכום דומה גם בתיק הנוכחי, ולפיכך יעמוד צו התשלומים החל מחודש דצמבר על </w:t>
      </w:r>
      <w:r w:rsidR="009702DD">
        <w:rPr>
          <w:rFonts w:ascii="Calibri" w:eastAsia="Calibri" w:hAnsi="Calibri" w:hint="cs"/>
          <w:noProof w:val="0"/>
          <w:sz w:val="22"/>
          <w:szCs w:val="22"/>
          <w:rtl/>
        </w:rPr>
        <w:t>700</w:t>
      </w:r>
      <w:r w:rsidRPr="00CE0A54">
        <w:rPr>
          <w:rFonts w:ascii="Calibri" w:eastAsia="Calibri" w:hAnsi="Calibri"/>
          <w:noProof w:val="0"/>
          <w:sz w:val="22"/>
          <w:szCs w:val="22"/>
          <w:rtl/>
        </w:rPr>
        <w:t xml:space="preserve"> ש"ח. אכן משמעות הדבר היא, </w:t>
      </w:r>
      <w:r w:rsidRPr="00CE0A54">
        <w:rPr>
          <w:rFonts w:ascii="Calibri" w:eastAsia="Calibri" w:hAnsi="Calibri"/>
          <w:noProof w:val="0"/>
          <w:sz w:val="22"/>
          <w:szCs w:val="22"/>
          <w:rtl/>
        </w:rPr>
        <w:lastRenderedPageBreak/>
        <w:t xml:space="preserve">שהחוב יסולק בתוך כמעט עשרים שנה, ואולם משמעות הצו בתיק הקשור </w:t>
      </w:r>
      <w:r w:rsidR="00E92D9B">
        <w:rPr>
          <w:rFonts w:ascii="Calibri" w:eastAsia="Calibri" w:hAnsi="Calibri" w:hint="cs"/>
          <w:noProof w:val="0"/>
          <w:sz w:val="22"/>
          <w:szCs w:val="22"/>
          <w:rtl/>
        </w:rPr>
        <w:t xml:space="preserve">(לגביו המשיב לא הגיש ערעור) </w:t>
      </w:r>
      <w:r w:rsidRPr="00CE0A54">
        <w:rPr>
          <w:rFonts w:ascii="Calibri" w:eastAsia="Calibri" w:hAnsi="Calibri"/>
          <w:noProof w:val="0"/>
          <w:sz w:val="22"/>
          <w:szCs w:val="22"/>
          <w:rtl/>
        </w:rPr>
        <w:t xml:space="preserve">היא שהחוב יסולק בתוך כמעט חמישים שנה.  </w:t>
      </w:r>
    </w:p>
    <w:p w:rsidR="004900DA" w:rsidRPr="004900DA" w:rsidRDefault="004900DA" w:rsidP="004900DA">
      <w:pPr>
        <w:pStyle w:val="ad"/>
        <w:rPr>
          <w:rFonts w:ascii="Calibri" w:eastAsia="Calibri" w:hAnsi="Calibri"/>
          <w:noProof w:val="0"/>
          <w:sz w:val="22"/>
          <w:szCs w:val="22"/>
          <w:rtl/>
        </w:rPr>
      </w:pPr>
    </w:p>
    <w:p w:rsidR="004900DA" w:rsidRPr="008B7474" w:rsidRDefault="007C0D39" w:rsidP="008B7474">
      <w:pPr>
        <w:pStyle w:val="ad"/>
        <w:numPr>
          <w:ilvl w:val="0"/>
          <w:numId w:val="1"/>
        </w:numPr>
        <w:spacing w:line="360" w:lineRule="auto"/>
        <w:jc w:val="both"/>
        <w:rPr>
          <w:rFonts w:ascii="Calibri" w:eastAsia="Calibri" w:hAnsi="Calibri"/>
          <w:noProof w:val="0"/>
          <w:sz w:val="22"/>
          <w:szCs w:val="22"/>
        </w:rPr>
      </w:pPr>
      <w:r w:rsidRPr="008B7474">
        <w:rPr>
          <w:rFonts w:ascii="Calibri" w:eastAsia="Calibri" w:hAnsi="Calibri" w:hint="cs"/>
          <w:noProof w:val="0"/>
          <w:sz w:val="22"/>
          <w:szCs w:val="22"/>
          <w:rtl/>
        </w:rPr>
        <w:t xml:space="preserve">ומעבר </w:t>
      </w:r>
      <w:r w:rsidR="00E97B60" w:rsidRPr="008B7474">
        <w:rPr>
          <w:rFonts w:ascii="Calibri" w:eastAsia="Calibri" w:hAnsi="Calibri" w:hint="cs"/>
          <w:noProof w:val="0"/>
          <w:sz w:val="22"/>
          <w:szCs w:val="22"/>
          <w:rtl/>
        </w:rPr>
        <w:t xml:space="preserve">להשוואה בין הצווים בשני התיקים, </w:t>
      </w:r>
      <w:r w:rsidRPr="008B7474">
        <w:rPr>
          <w:rFonts w:ascii="Calibri" w:eastAsia="Calibri" w:hAnsi="Calibri" w:hint="cs"/>
          <w:noProof w:val="0"/>
          <w:sz w:val="22"/>
          <w:szCs w:val="22"/>
          <w:rtl/>
        </w:rPr>
        <w:t>יש לזכור כי אמנם תכל</w:t>
      </w:r>
      <w:r w:rsidR="0024613F" w:rsidRPr="008B7474">
        <w:rPr>
          <w:rFonts w:ascii="Calibri" w:eastAsia="Calibri" w:hAnsi="Calibri" w:hint="cs"/>
          <w:noProof w:val="0"/>
          <w:sz w:val="22"/>
          <w:szCs w:val="22"/>
          <w:rtl/>
        </w:rPr>
        <w:t>יתו הראשונה של חוק ההוצאה לפועל</w:t>
      </w:r>
      <w:r w:rsidR="0024613F" w:rsidRPr="008B7474">
        <w:rPr>
          <w:rFonts w:ascii="Calibri" w:eastAsia="Calibri" w:hAnsi="Calibri"/>
          <w:noProof w:val="0"/>
          <w:sz w:val="22"/>
          <w:szCs w:val="22"/>
          <w:rtl/>
        </w:rPr>
        <w:t>, תשכ"ז-1967</w:t>
      </w:r>
      <w:r w:rsidR="0024613F" w:rsidRPr="008B7474">
        <w:rPr>
          <w:rFonts w:ascii="Calibri" w:eastAsia="Calibri" w:hAnsi="Calibri" w:hint="cs"/>
          <w:noProof w:val="0"/>
          <w:sz w:val="22"/>
          <w:szCs w:val="22"/>
          <w:rtl/>
        </w:rPr>
        <w:t xml:space="preserve"> </w:t>
      </w:r>
      <w:r w:rsidRPr="008B7474">
        <w:rPr>
          <w:rFonts w:ascii="Calibri" w:eastAsia="Calibri" w:hAnsi="Calibri" w:hint="cs"/>
          <w:noProof w:val="0"/>
          <w:sz w:val="22"/>
          <w:szCs w:val="22"/>
          <w:rtl/>
        </w:rPr>
        <w:t>היא "</w:t>
      </w:r>
      <w:r w:rsidRPr="008B7474">
        <w:rPr>
          <w:rFonts w:ascii="Calibri" w:eastAsia="Calibri" w:hAnsi="Calibri"/>
          <w:noProof w:val="0"/>
          <w:sz w:val="22"/>
          <w:szCs w:val="22"/>
          <w:rtl/>
        </w:rPr>
        <w:t>לסייע לזוכה לגבות את חובו במהירות וביעילות</w:t>
      </w:r>
      <w:r w:rsidRPr="008B7474">
        <w:rPr>
          <w:rFonts w:ascii="Calibri" w:eastAsia="Calibri" w:hAnsi="Calibri" w:hint="cs"/>
          <w:noProof w:val="0"/>
          <w:sz w:val="22"/>
          <w:szCs w:val="22"/>
          <w:rtl/>
        </w:rPr>
        <w:t>", ואולם תכליתו השנייה היא "ל</w:t>
      </w:r>
      <w:r w:rsidRPr="008B7474">
        <w:rPr>
          <w:rFonts w:ascii="Calibri" w:eastAsia="Calibri" w:hAnsi="Calibri"/>
          <w:noProof w:val="0"/>
          <w:sz w:val="22"/>
          <w:szCs w:val="22"/>
          <w:rtl/>
        </w:rPr>
        <w:t>הגן על החייבים אשר לאור מצבם הכלכלי אינם יכולים לעמוד בתשלום החוב הפסוק. החוק בא למנוע מצב שבו בהפעלת מנגנון הגבייה לטובת הזוכה יהפוך החייב לחסר יכולת ולנטל על החברה</w:t>
      </w:r>
      <w:r w:rsidRPr="008B7474">
        <w:rPr>
          <w:rFonts w:ascii="Calibri" w:eastAsia="Calibri" w:hAnsi="Calibri" w:hint="cs"/>
          <w:noProof w:val="0"/>
          <w:sz w:val="22"/>
          <w:szCs w:val="22"/>
          <w:rtl/>
        </w:rPr>
        <w:t>" (</w:t>
      </w:r>
      <w:r w:rsidRPr="008B7474">
        <w:rPr>
          <w:rFonts w:ascii="Calibri" w:eastAsia="Calibri" w:hAnsi="Calibri"/>
          <w:noProof w:val="0"/>
          <w:sz w:val="22"/>
          <w:szCs w:val="22"/>
          <w:rtl/>
        </w:rPr>
        <w:t xml:space="preserve">רע"א 4905/98‏ </w:t>
      </w:r>
      <w:r w:rsidRPr="008B7474">
        <w:rPr>
          <w:rFonts w:ascii="Calibri" w:eastAsia="Calibri" w:hAnsi="Calibri"/>
          <w:b/>
          <w:bCs/>
          <w:noProof w:val="0"/>
          <w:sz w:val="22"/>
          <w:szCs w:val="22"/>
          <w:rtl/>
        </w:rPr>
        <w:t>גמזו נ' ישעיהו</w:t>
      </w:r>
      <w:r w:rsidRPr="008B7474">
        <w:rPr>
          <w:rFonts w:ascii="Calibri" w:eastAsia="Calibri" w:hAnsi="Calibri"/>
          <w:noProof w:val="0"/>
          <w:sz w:val="22"/>
          <w:szCs w:val="22"/>
          <w:rtl/>
        </w:rPr>
        <w:t>, פ''ד נה(3) 360</w:t>
      </w:r>
      <w:r w:rsidRPr="008B7474">
        <w:rPr>
          <w:rFonts w:ascii="Calibri" w:eastAsia="Calibri" w:hAnsi="Calibri" w:hint="cs"/>
          <w:noProof w:val="0"/>
          <w:sz w:val="22"/>
          <w:szCs w:val="22"/>
          <w:rtl/>
        </w:rPr>
        <w:t>, 375-374)</w:t>
      </w:r>
      <w:r w:rsidR="00B70EE7" w:rsidRPr="008B7474">
        <w:rPr>
          <w:rFonts w:ascii="Calibri" w:eastAsia="Calibri" w:hAnsi="Calibri" w:hint="cs"/>
          <w:noProof w:val="0"/>
          <w:sz w:val="22"/>
          <w:szCs w:val="22"/>
          <w:rtl/>
        </w:rPr>
        <w:t>.</w:t>
      </w:r>
      <w:r w:rsidR="008B7474" w:rsidRPr="008B7474">
        <w:rPr>
          <w:rFonts w:ascii="Calibri" w:eastAsia="Calibri" w:hAnsi="Calibri" w:hint="cs"/>
          <w:noProof w:val="0"/>
          <w:sz w:val="22"/>
          <w:szCs w:val="22"/>
          <w:rtl/>
        </w:rPr>
        <w:t xml:space="preserve"> כך הם פני הדברים בענייננו, ואכן </w:t>
      </w:r>
      <w:r w:rsidR="00B70EE7" w:rsidRPr="008B7474">
        <w:rPr>
          <w:rFonts w:ascii="Calibri" w:eastAsia="Calibri" w:hAnsi="Calibri" w:hint="cs"/>
          <w:noProof w:val="0"/>
          <w:sz w:val="22"/>
          <w:szCs w:val="22"/>
          <w:rtl/>
        </w:rPr>
        <w:t xml:space="preserve">לעיתים האיזון בין שתי התכליות </w:t>
      </w:r>
      <w:r w:rsidR="00226AF0" w:rsidRPr="008B7474">
        <w:rPr>
          <w:rFonts w:ascii="Calibri" w:eastAsia="Calibri" w:hAnsi="Calibri" w:hint="cs"/>
          <w:noProof w:val="0"/>
          <w:sz w:val="22"/>
          <w:szCs w:val="22"/>
          <w:rtl/>
        </w:rPr>
        <w:t xml:space="preserve">יביא לתוצאה שהופכת את גביית החוב במלואו (ובוודאי בתוך זמן סביר) לבלתי </w:t>
      </w:r>
      <w:r w:rsidR="004900DA" w:rsidRPr="008B7474">
        <w:rPr>
          <w:rFonts w:ascii="Calibri" w:eastAsia="Calibri" w:hAnsi="Calibri" w:hint="cs"/>
          <w:noProof w:val="0"/>
          <w:sz w:val="22"/>
          <w:szCs w:val="22"/>
          <w:rtl/>
        </w:rPr>
        <w:t xml:space="preserve">מעשית. </w:t>
      </w:r>
    </w:p>
    <w:p w:rsidR="004900DA" w:rsidRPr="004900DA" w:rsidRDefault="004900DA" w:rsidP="004900DA">
      <w:pPr>
        <w:pStyle w:val="ad"/>
        <w:rPr>
          <w:rFonts w:ascii="Calibri" w:eastAsia="Calibri" w:hAnsi="Calibri"/>
          <w:noProof w:val="0"/>
          <w:sz w:val="22"/>
          <w:szCs w:val="22"/>
          <w:rtl/>
        </w:rPr>
      </w:pPr>
    </w:p>
    <w:p w:rsidR="00F40B5B" w:rsidRPr="004900DA" w:rsidRDefault="0089375C" w:rsidP="00CD3CCF">
      <w:pPr>
        <w:pStyle w:val="ad"/>
        <w:numPr>
          <w:ilvl w:val="0"/>
          <w:numId w:val="1"/>
        </w:numPr>
        <w:spacing w:line="360" w:lineRule="auto"/>
        <w:jc w:val="both"/>
        <w:rPr>
          <w:rFonts w:ascii="Calibri" w:eastAsia="Calibri" w:hAnsi="Calibri"/>
          <w:noProof w:val="0"/>
          <w:sz w:val="22"/>
          <w:szCs w:val="22"/>
          <w:rtl/>
        </w:rPr>
      </w:pPr>
      <w:r w:rsidRPr="004900DA">
        <w:rPr>
          <w:rFonts w:ascii="Calibri" w:eastAsia="Calibri" w:hAnsi="Calibri" w:hint="cs"/>
          <w:noProof w:val="0"/>
          <w:sz w:val="22"/>
          <w:szCs w:val="22"/>
          <w:rtl/>
        </w:rPr>
        <w:t xml:space="preserve">עוד יותר כך בנסיבותיו של תיק זה. כידוע, בעקבות תיקון 68 לחוק ההוצאה לפועל קיימת הגבלה על משך התקופה לאורכה מוסמך רשם הוצאה לפועל לפרוס תשלומים. ככלל, במקרים בהם מצבו של החייב לא מאפשר את סילוק החוב כולו בתקופות שנקבעו </w:t>
      </w:r>
      <w:r w:rsidR="00F36724" w:rsidRPr="004900DA">
        <w:rPr>
          <w:rFonts w:ascii="Calibri" w:eastAsia="Calibri" w:hAnsi="Calibri" w:hint="cs"/>
          <w:noProof w:val="0"/>
          <w:sz w:val="22"/>
          <w:szCs w:val="22"/>
          <w:rtl/>
        </w:rPr>
        <w:t>-</w:t>
      </w:r>
      <w:r w:rsidRPr="004900DA">
        <w:rPr>
          <w:rFonts w:ascii="Calibri" w:eastAsia="Calibri" w:hAnsi="Calibri" w:hint="cs"/>
          <w:noProof w:val="0"/>
          <w:sz w:val="22"/>
          <w:szCs w:val="22"/>
          <w:rtl/>
        </w:rPr>
        <w:t xml:space="preserve"> שלוש שנים </w:t>
      </w:r>
      <w:r w:rsidR="00F40B5B" w:rsidRPr="004900DA">
        <w:rPr>
          <w:rFonts w:ascii="Calibri" w:eastAsia="Calibri" w:hAnsi="Calibri" w:hint="cs"/>
          <w:noProof w:val="0"/>
          <w:sz w:val="22"/>
          <w:szCs w:val="22"/>
          <w:rtl/>
        </w:rPr>
        <w:t>(חוב שאינו עולה על 100,000 ש"ח), ארבע שני</w:t>
      </w:r>
      <w:r w:rsidR="009563A3">
        <w:rPr>
          <w:rFonts w:ascii="Calibri" w:eastAsia="Calibri" w:hAnsi="Calibri" w:hint="cs"/>
          <w:noProof w:val="0"/>
          <w:sz w:val="22"/>
          <w:szCs w:val="22"/>
          <w:rtl/>
        </w:rPr>
        <w:t>ם</w:t>
      </w:r>
      <w:r w:rsidR="00F40B5B" w:rsidRPr="004900DA">
        <w:rPr>
          <w:rFonts w:ascii="Calibri" w:eastAsia="Calibri" w:hAnsi="Calibri" w:hint="cs"/>
          <w:noProof w:val="0"/>
          <w:sz w:val="22"/>
          <w:szCs w:val="22"/>
          <w:rtl/>
        </w:rPr>
        <w:t xml:space="preserve"> (חוב העולה על 100,000 ש"ח) ואפשרות של שלוש שנים נוספות מעבר לתקופות אלה </w:t>
      </w:r>
      <w:r w:rsidR="00F36724" w:rsidRPr="004900DA">
        <w:rPr>
          <w:rFonts w:ascii="Calibri" w:eastAsia="Calibri" w:hAnsi="Calibri" w:hint="cs"/>
          <w:noProof w:val="0"/>
          <w:sz w:val="22"/>
          <w:szCs w:val="22"/>
          <w:rtl/>
        </w:rPr>
        <w:t>-</w:t>
      </w:r>
      <w:r w:rsidR="00F40B5B" w:rsidRPr="004900DA">
        <w:rPr>
          <w:rFonts w:ascii="Calibri" w:eastAsia="Calibri" w:hAnsi="Calibri" w:hint="cs"/>
          <w:noProof w:val="0"/>
          <w:sz w:val="22"/>
          <w:szCs w:val="22"/>
          <w:rtl/>
        </w:rPr>
        <w:t xml:space="preserve"> מופנה החייב להליכי חדלות פירעון (ראו סעיף </w:t>
      </w:r>
      <w:r w:rsidR="0024613F" w:rsidRPr="004900DA">
        <w:rPr>
          <w:rFonts w:ascii="Calibri" w:eastAsia="Calibri" w:hAnsi="Calibri" w:hint="cs"/>
          <w:noProof w:val="0"/>
          <w:sz w:val="22"/>
          <w:szCs w:val="22"/>
          <w:rtl/>
        </w:rPr>
        <w:t xml:space="preserve">7א2 לחוק ההוצאה לפועל) </w:t>
      </w:r>
      <w:r w:rsidR="00A35F83" w:rsidRPr="004900DA">
        <w:rPr>
          <w:rFonts w:ascii="Calibri" w:eastAsia="Calibri" w:hAnsi="Calibri" w:hint="cs"/>
          <w:noProof w:val="0"/>
          <w:sz w:val="22"/>
          <w:szCs w:val="22"/>
          <w:rtl/>
        </w:rPr>
        <w:t xml:space="preserve">באופן אשר ככלל מונע, ומכל מקום מצמצם מאוד, אפשרות של פריסת תשלומים לאורך שנים רבות מאוד. </w:t>
      </w:r>
      <w:r w:rsidR="00F36724" w:rsidRPr="004900DA">
        <w:rPr>
          <w:rFonts w:ascii="Calibri" w:eastAsia="Calibri" w:hAnsi="Calibri" w:hint="cs"/>
          <w:noProof w:val="0"/>
          <w:sz w:val="22"/>
          <w:szCs w:val="22"/>
          <w:rtl/>
        </w:rPr>
        <w:t xml:space="preserve">ואולם בענייננו המערער כבר הגיש הליך </w:t>
      </w:r>
      <w:r w:rsidR="00CD3CCF">
        <w:rPr>
          <w:rFonts w:ascii="Calibri" w:eastAsia="Calibri" w:hAnsi="Calibri" w:hint="cs"/>
          <w:noProof w:val="0"/>
          <w:sz w:val="22"/>
          <w:szCs w:val="22"/>
          <w:rtl/>
        </w:rPr>
        <w:t xml:space="preserve">חדלות פירעון </w:t>
      </w:r>
      <w:r w:rsidR="00F36724" w:rsidRPr="004900DA">
        <w:rPr>
          <w:rFonts w:ascii="Calibri" w:eastAsia="Calibri" w:hAnsi="Calibri" w:hint="cs"/>
          <w:noProof w:val="0"/>
          <w:sz w:val="22"/>
          <w:szCs w:val="22"/>
          <w:rtl/>
        </w:rPr>
        <w:t>ואף קיבל הפטר אלא שזה לא חל על חוב מזונות</w:t>
      </w:r>
      <w:r w:rsidR="00A35F83" w:rsidRPr="004900DA">
        <w:rPr>
          <w:rFonts w:ascii="Calibri" w:eastAsia="Calibri" w:hAnsi="Calibri" w:hint="cs"/>
          <w:noProof w:val="0"/>
          <w:sz w:val="22"/>
          <w:szCs w:val="22"/>
          <w:rtl/>
        </w:rPr>
        <w:t xml:space="preserve"> (הפריסה לתקופה ארוכה מתאפשרת בכל זאת בשים לב לסעיף 7א1(ד) ולהסכמת הזוכה</w:t>
      </w:r>
      <w:r w:rsidR="00703D3D" w:rsidRPr="004900DA">
        <w:rPr>
          <w:rFonts w:ascii="Calibri" w:eastAsia="Calibri" w:hAnsi="Calibri" w:hint="cs"/>
          <w:noProof w:val="0"/>
          <w:sz w:val="22"/>
          <w:szCs w:val="22"/>
          <w:rtl/>
        </w:rPr>
        <w:t xml:space="preserve"> וראו החלטה מיום 28.12.20 בתיק הנוסף). </w:t>
      </w:r>
    </w:p>
    <w:p w:rsidR="007C0D39" w:rsidRPr="00CE0A54" w:rsidRDefault="007C0D39" w:rsidP="00F20687">
      <w:pPr>
        <w:spacing w:line="360" w:lineRule="auto"/>
        <w:jc w:val="both"/>
        <w:rPr>
          <w:rFonts w:ascii="Calibri" w:eastAsia="Calibri" w:hAnsi="Calibri"/>
          <w:noProof w:val="0"/>
          <w:sz w:val="22"/>
          <w:szCs w:val="22"/>
          <w:rtl/>
        </w:rPr>
      </w:pPr>
    </w:p>
    <w:p w:rsidR="00CE0A54" w:rsidRPr="00BD54EB" w:rsidRDefault="00CE0A54" w:rsidP="00E82103">
      <w:pPr>
        <w:pStyle w:val="ad"/>
        <w:numPr>
          <w:ilvl w:val="0"/>
          <w:numId w:val="1"/>
        </w:numPr>
        <w:spacing w:line="360" w:lineRule="auto"/>
        <w:jc w:val="both"/>
        <w:rPr>
          <w:rFonts w:ascii="Calibri" w:eastAsia="Calibri" w:hAnsi="Calibri"/>
          <w:noProof w:val="0"/>
          <w:sz w:val="22"/>
          <w:szCs w:val="22"/>
          <w:rtl/>
        </w:rPr>
      </w:pPr>
      <w:r w:rsidRPr="00BD54EB">
        <w:rPr>
          <w:rFonts w:ascii="Calibri" w:eastAsia="Calibri" w:hAnsi="Calibri"/>
          <w:noProof w:val="0"/>
          <w:sz w:val="22"/>
          <w:szCs w:val="22"/>
          <w:rtl/>
        </w:rPr>
        <w:t xml:space="preserve">עם זאת, וכפי שניתן לראות, אינני סבור שיש מקום לקבל את בקשת המערער להעמיד את צו התשלומים על כ-300 ש"ח. סבורני, שההחלטה להעמיד את צו התשלומים עד לחודש דצמבר על 500 ש"ח היא סבירה, כי צו התשלומים בתיק הנוסף (700 ש"ח לחודש) סביר אף הוא, וכי גם העמדת הצו בתיק זה על </w:t>
      </w:r>
      <w:r w:rsidR="000C76D5" w:rsidRPr="00BD54EB">
        <w:rPr>
          <w:rFonts w:ascii="Calibri" w:eastAsia="Calibri" w:hAnsi="Calibri" w:hint="cs"/>
          <w:noProof w:val="0"/>
          <w:sz w:val="22"/>
          <w:szCs w:val="22"/>
          <w:rtl/>
        </w:rPr>
        <w:t>700</w:t>
      </w:r>
      <w:r w:rsidRPr="00BD54EB">
        <w:rPr>
          <w:rFonts w:ascii="Calibri" w:eastAsia="Calibri" w:hAnsi="Calibri"/>
          <w:noProof w:val="0"/>
          <w:sz w:val="22"/>
          <w:szCs w:val="22"/>
          <w:rtl/>
        </w:rPr>
        <w:t xml:space="preserve"> ש"ח תאפשר קיום סביר למערער תוך שהסכום החודשי הוא פ</w:t>
      </w:r>
      <w:r w:rsidR="000C76D5" w:rsidRPr="00BD54EB">
        <w:rPr>
          <w:rFonts w:ascii="Calibri" w:eastAsia="Calibri" w:hAnsi="Calibri"/>
          <w:noProof w:val="0"/>
          <w:sz w:val="22"/>
          <w:szCs w:val="22"/>
          <w:rtl/>
        </w:rPr>
        <w:t>רופורציונלי בכל זאת להיקף החוב</w:t>
      </w:r>
      <w:r w:rsidR="000C76D5" w:rsidRPr="00BD54EB">
        <w:rPr>
          <w:rFonts w:ascii="Calibri" w:eastAsia="Calibri" w:hAnsi="Calibri" w:hint="cs"/>
          <w:noProof w:val="0"/>
          <w:sz w:val="22"/>
          <w:szCs w:val="22"/>
          <w:rtl/>
        </w:rPr>
        <w:t xml:space="preserve"> (ומכל מקום </w:t>
      </w:r>
      <w:r w:rsidR="00BD54EB">
        <w:rPr>
          <w:rFonts w:ascii="Calibri" w:eastAsia="Calibri" w:hAnsi="Calibri" w:hint="cs"/>
          <w:noProof w:val="0"/>
          <w:sz w:val="22"/>
          <w:szCs w:val="22"/>
          <w:rtl/>
        </w:rPr>
        <w:t xml:space="preserve">יוזכר, כי </w:t>
      </w:r>
      <w:r w:rsidR="000C76D5" w:rsidRPr="00BD54EB">
        <w:rPr>
          <w:rFonts w:ascii="Calibri" w:eastAsia="Calibri" w:hAnsi="Calibri" w:hint="cs"/>
          <w:noProof w:val="0"/>
          <w:sz w:val="22"/>
          <w:szCs w:val="22"/>
          <w:rtl/>
        </w:rPr>
        <w:t xml:space="preserve">גם אם החלטה זו אינה מחייבת את המערער - נורמטיבית או מעשית - להחליף את מקום מגוריו לדירה זולה יותר עדיין אפשרות זאת פתוחה בפניו). </w:t>
      </w:r>
    </w:p>
    <w:p w:rsidR="00CE0A54" w:rsidRPr="00CE0A54" w:rsidRDefault="00CE0A54" w:rsidP="00F20687">
      <w:pPr>
        <w:spacing w:line="360" w:lineRule="auto"/>
        <w:jc w:val="both"/>
        <w:rPr>
          <w:rFonts w:ascii="Calibri" w:eastAsia="Calibri" w:hAnsi="Calibri"/>
          <w:noProof w:val="0"/>
          <w:sz w:val="22"/>
          <w:szCs w:val="22"/>
          <w:rtl/>
        </w:rPr>
      </w:pPr>
    </w:p>
    <w:p w:rsidR="00CE0A54" w:rsidRPr="00262D37" w:rsidRDefault="00262D37" w:rsidP="007A7EAA">
      <w:pPr>
        <w:pStyle w:val="ad"/>
        <w:numPr>
          <w:ilvl w:val="0"/>
          <w:numId w:val="1"/>
        </w:numPr>
        <w:spacing w:line="360" w:lineRule="auto"/>
        <w:jc w:val="both"/>
        <w:rPr>
          <w:rFonts w:ascii="Calibri" w:eastAsia="Calibri" w:hAnsi="Calibri"/>
          <w:noProof w:val="0"/>
          <w:sz w:val="22"/>
          <w:szCs w:val="22"/>
          <w:rtl/>
        </w:rPr>
      </w:pPr>
      <w:r w:rsidRPr="00262D37">
        <w:rPr>
          <w:rFonts w:ascii="Calibri" w:eastAsia="Calibri" w:hAnsi="Calibri" w:hint="cs"/>
          <w:noProof w:val="0"/>
          <w:sz w:val="22"/>
          <w:szCs w:val="22"/>
          <w:rtl/>
        </w:rPr>
        <w:t>סוף דבר, דומני כי בשים לב לכך ש</w:t>
      </w:r>
      <w:r w:rsidR="00CE0A54" w:rsidRPr="00262D37">
        <w:rPr>
          <w:rFonts w:ascii="Calibri" w:eastAsia="Calibri" w:hAnsi="Calibri"/>
          <w:noProof w:val="0"/>
          <w:sz w:val="22"/>
          <w:szCs w:val="22"/>
          <w:rtl/>
        </w:rPr>
        <w:t xml:space="preserve">עמדת המשיב מתבססת </w:t>
      </w:r>
      <w:r w:rsidR="007A7EAA">
        <w:rPr>
          <w:rFonts w:ascii="Calibri" w:eastAsia="Calibri" w:hAnsi="Calibri" w:hint="cs"/>
          <w:noProof w:val="0"/>
          <w:sz w:val="22"/>
          <w:szCs w:val="22"/>
          <w:rtl/>
        </w:rPr>
        <w:t>גם</w:t>
      </w:r>
      <w:r w:rsidR="00CE0A54" w:rsidRPr="00262D37">
        <w:rPr>
          <w:rFonts w:ascii="Calibri" w:eastAsia="Calibri" w:hAnsi="Calibri"/>
          <w:noProof w:val="0"/>
          <w:sz w:val="22"/>
          <w:szCs w:val="22"/>
          <w:rtl/>
        </w:rPr>
        <w:t xml:space="preserve"> על התייחסות לשכר ברוטו (שאכן אינו הנתון</w:t>
      </w:r>
      <w:r w:rsidRPr="00262D37">
        <w:rPr>
          <w:rFonts w:ascii="Calibri" w:eastAsia="Calibri" w:hAnsi="Calibri" w:hint="cs"/>
          <w:noProof w:val="0"/>
          <w:sz w:val="22"/>
          <w:szCs w:val="22"/>
          <w:rtl/>
        </w:rPr>
        <w:t xml:space="preserve"> הדומיננטי </w:t>
      </w:r>
      <w:r w:rsidR="00CE0A54" w:rsidRPr="00262D37">
        <w:rPr>
          <w:rFonts w:ascii="Calibri" w:eastAsia="Calibri" w:hAnsi="Calibri"/>
          <w:noProof w:val="0"/>
          <w:sz w:val="22"/>
          <w:szCs w:val="22"/>
          <w:rtl/>
        </w:rPr>
        <w:t>לשאלת יכולת התשלומים)</w:t>
      </w:r>
      <w:r w:rsidRPr="00262D37">
        <w:rPr>
          <w:rFonts w:ascii="Calibri" w:eastAsia="Calibri" w:hAnsi="Calibri" w:hint="cs"/>
          <w:noProof w:val="0"/>
          <w:sz w:val="22"/>
          <w:szCs w:val="22"/>
          <w:rtl/>
        </w:rPr>
        <w:t xml:space="preserve">, לכך שהחלטת כבוד הרשמת יוצאת מנקודת הנחה ששכר הדירה המשולם כיום הוא 5,000 ש"ח (ולא 4,700 ש"ח) כך שהיקף החיסכון כתוצאה מהחלפת דירה יהיה משמעותי פחות, ולכך שהחלטת כבוד הרשמת </w:t>
      </w:r>
      <w:r w:rsidR="00CE0A54" w:rsidRPr="00262D37">
        <w:rPr>
          <w:rFonts w:ascii="Calibri" w:eastAsia="Calibri" w:hAnsi="Calibri"/>
          <w:noProof w:val="0"/>
          <w:sz w:val="22"/>
          <w:szCs w:val="22"/>
          <w:rtl/>
        </w:rPr>
        <w:t>מתבססת גם על אי-התייחסות (מצד המערער עצמו) לצו התשלומים שניתן בתיק הקשור</w:t>
      </w:r>
      <w:r w:rsidRPr="00262D37">
        <w:rPr>
          <w:rFonts w:ascii="Calibri" w:eastAsia="Calibri" w:hAnsi="Calibri" w:hint="cs"/>
          <w:noProof w:val="0"/>
          <w:sz w:val="22"/>
          <w:szCs w:val="22"/>
          <w:rtl/>
        </w:rPr>
        <w:t xml:space="preserve">, כמו גם בשים לב לגילו של המבקש, נסיבותיו והיקף הכנסותיו והוצאותיו </w:t>
      </w:r>
      <w:r w:rsidR="00CE0A54" w:rsidRPr="00262D37">
        <w:rPr>
          <w:rFonts w:ascii="Calibri" w:eastAsia="Calibri" w:hAnsi="Calibri"/>
          <w:noProof w:val="0"/>
          <w:sz w:val="22"/>
          <w:szCs w:val="22"/>
          <w:rtl/>
        </w:rPr>
        <w:t xml:space="preserve">יש לקבל את הערעור באופן האמור. </w:t>
      </w:r>
    </w:p>
    <w:p w:rsidR="00CE0A54" w:rsidRDefault="00CE0A54" w:rsidP="00F20687">
      <w:pPr>
        <w:spacing w:line="360" w:lineRule="auto"/>
        <w:jc w:val="both"/>
        <w:rPr>
          <w:rFonts w:ascii="Calibri" w:eastAsia="Calibri" w:hAnsi="Calibri"/>
          <w:noProof w:val="0"/>
          <w:sz w:val="22"/>
          <w:szCs w:val="22"/>
          <w:rtl/>
        </w:rPr>
      </w:pPr>
    </w:p>
    <w:p w:rsidR="00CE0A54" w:rsidRPr="00CE0A54" w:rsidRDefault="00CE0A54" w:rsidP="00F20687">
      <w:pPr>
        <w:pStyle w:val="ad"/>
        <w:numPr>
          <w:ilvl w:val="0"/>
          <w:numId w:val="1"/>
        </w:numPr>
        <w:spacing w:line="360" w:lineRule="auto"/>
        <w:jc w:val="both"/>
        <w:rPr>
          <w:rFonts w:ascii="Calibri" w:eastAsia="Calibri" w:hAnsi="Calibri"/>
          <w:noProof w:val="0"/>
          <w:sz w:val="22"/>
          <w:szCs w:val="22"/>
          <w:rtl/>
        </w:rPr>
      </w:pPr>
      <w:r w:rsidRPr="00CE0A54">
        <w:rPr>
          <w:rFonts w:ascii="Calibri" w:eastAsia="Calibri" w:hAnsi="Calibri"/>
          <w:noProof w:val="0"/>
          <w:sz w:val="22"/>
          <w:szCs w:val="22"/>
          <w:rtl/>
        </w:rPr>
        <w:t xml:space="preserve">אשר לסוגיית צו עיכוב היציאה מהארץ: מעבר לכך שהתנאים שנקבעו בהחלטה מיום 27.6.23 אינם בלתי סבירים או רחוקים מאוד מהמקובל, ההחלטה הרי קושרת בין הבטוחות שנקבעו לבין העובדה שהמערער לא קידם את בקשתו לצו תשלומים ולא ניתן לתת משקל מכריע לכך שעמד בצו התשלומים </w:t>
      </w:r>
      <w:r w:rsidRPr="00CE0A54">
        <w:rPr>
          <w:rFonts w:ascii="Calibri" w:eastAsia="Calibri" w:hAnsi="Calibri"/>
          <w:noProof w:val="0"/>
          <w:sz w:val="22"/>
          <w:szCs w:val="22"/>
          <w:rtl/>
        </w:rPr>
        <w:lastRenderedPageBreak/>
        <w:t>הזמני 10.1.21 בו נקבע סכום נמוך משמעותית. מסתבר, כי אם המערער יעמוד בצו התשלומים שניתן כעת הוא יוכל לבקש מכבוד הרשמת לעיין מחדש בהחלטתה.</w:t>
      </w:r>
      <w:r w:rsidR="00262D37">
        <w:rPr>
          <w:rFonts w:ascii="Calibri" w:eastAsia="Calibri" w:hAnsi="Calibri" w:hint="cs"/>
          <w:noProof w:val="0"/>
          <w:sz w:val="22"/>
          <w:szCs w:val="22"/>
          <w:rtl/>
        </w:rPr>
        <w:t xml:space="preserve"> זו היתה גם </w:t>
      </w:r>
      <w:r w:rsidR="000C2F99">
        <w:rPr>
          <w:rFonts w:ascii="Calibri" w:eastAsia="Calibri" w:hAnsi="Calibri" w:hint="cs"/>
          <w:noProof w:val="0"/>
          <w:sz w:val="22"/>
          <w:szCs w:val="22"/>
          <w:rtl/>
        </w:rPr>
        <w:t xml:space="preserve">עמדת המשיב בתגובתו לערעור ("לאחר התווית צו התשלומים ועמידה בו, סבור המשיב כי יהיה נכון להידרש לעניין זה מחדש") והיא מקובלת על בית המשפט. אינני סבור אפוא שיש מקום בשלב זה להיעתר לרכיב זה של הערעור. </w:t>
      </w:r>
    </w:p>
    <w:p w:rsidR="00262D37" w:rsidRPr="00CE0A54" w:rsidRDefault="00262D37" w:rsidP="00F20687">
      <w:pPr>
        <w:spacing w:line="360" w:lineRule="auto"/>
        <w:jc w:val="both"/>
        <w:rPr>
          <w:rFonts w:ascii="Calibri" w:eastAsia="Calibri" w:hAnsi="Calibri"/>
          <w:noProof w:val="0"/>
          <w:sz w:val="22"/>
          <w:szCs w:val="22"/>
          <w:rtl/>
        </w:rPr>
      </w:pPr>
    </w:p>
    <w:p w:rsidR="00D71E46" w:rsidRDefault="00D71E46" w:rsidP="00F20687">
      <w:pPr>
        <w:pStyle w:val="ad"/>
        <w:numPr>
          <w:ilvl w:val="0"/>
          <w:numId w:val="1"/>
        </w:numPr>
        <w:spacing w:line="360" w:lineRule="auto"/>
        <w:jc w:val="both"/>
        <w:rPr>
          <w:rFonts w:ascii="Calibri" w:eastAsia="Calibri" w:hAnsi="Calibri"/>
          <w:noProof w:val="0"/>
          <w:sz w:val="22"/>
          <w:szCs w:val="22"/>
        </w:rPr>
      </w:pPr>
      <w:r>
        <w:rPr>
          <w:rFonts w:ascii="Calibri" w:eastAsia="Calibri" w:hAnsi="Calibri" w:hint="cs"/>
          <w:noProof w:val="0"/>
          <w:sz w:val="22"/>
          <w:szCs w:val="22"/>
          <w:rtl/>
        </w:rPr>
        <w:t xml:space="preserve">מותר לפרסום בהשמטת פרטים מזהים ותיקוני עריכה נלווים. </w:t>
      </w:r>
    </w:p>
    <w:p w:rsidR="00D71E46" w:rsidRPr="00D71E46" w:rsidRDefault="00D71E46" w:rsidP="00D71E46">
      <w:pPr>
        <w:pStyle w:val="ad"/>
        <w:rPr>
          <w:rFonts w:ascii="Calibri" w:eastAsia="Calibri" w:hAnsi="Calibri"/>
          <w:noProof w:val="0"/>
          <w:sz w:val="22"/>
          <w:szCs w:val="22"/>
          <w:rtl/>
        </w:rPr>
      </w:pPr>
    </w:p>
    <w:p w:rsidR="00CE0A54" w:rsidRPr="00CE0A54" w:rsidRDefault="00CE0A54" w:rsidP="00F20687">
      <w:pPr>
        <w:pStyle w:val="ad"/>
        <w:numPr>
          <w:ilvl w:val="0"/>
          <w:numId w:val="1"/>
        </w:numPr>
        <w:spacing w:line="360" w:lineRule="auto"/>
        <w:jc w:val="both"/>
        <w:rPr>
          <w:rFonts w:ascii="Calibri" w:eastAsia="Calibri" w:hAnsi="Calibri"/>
          <w:noProof w:val="0"/>
          <w:sz w:val="22"/>
          <w:szCs w:val="22"/>
          <w:rtl/>
        </w:rPr>
      </w:pPr>
      <w:r w:rsidRPr="00CE0A54">
        <w:rPr>
          <w:rFonts w:ascii="Calibri" w:eastAsia="Calibri" w:hAnsi="Calibri"/>
          <w:noProof w:val="0"/>
          <w:sz w:val="22"/>
          <w:szCs w:val="22"/>
          <w:rtl/>
        </w:rPr>
        <w:t>עותק יועבר לצדדים והתיק ייסגר.</w:t>
      </w:r>
    </w:p>
    <w:p w:rsidR="002914D6" w:rsidRDefault="002914D6" w:rsidP="00F20687">
      <w:pPr>
        <w:spacing w:line="360" w:lineRule="auto"/>
        <w:jc w:val="both"/>
        <w:rPr>
          <w:rFonts w:ascii="Arial" w:hAnsi="Arial"/>
          <w:noProof w:val="0"/>
          <w:rtl/>
        </w:rPr>
      </w:pPr>
    </w:p>
    <w:p w:rsidR="002914D6" w:rsidRPr="00CE0A54" w:rsidRDefault="00011212" w:rsidP="00F20687">
      <w:pPr>
        <w:spacing w:line="360" w:lineRule="auto"/>
        <w:jc w:val="both"/>
        <w:rPr>
          <w:rFonts w:ascii="Arial" w:hAnsi="Arial"/>
          <w:noProof w:val="0"/>
          <w:sz w:val="22"/>
          <w:szCs w:val="22"/>
          <w:rtl/>
        </w:rPr>
      </w:pPr>
      <w:r w:rsidRPr="00CE0A54">
        <w:rPr>
          <w:rFonts w:ascii="Arial" w:hAnsi="Arial"/>
          <w:noProof w:val="0"/>
          <w:sz w:val="22"/>
          <w:szCs w:val="22"/>
          <w:rtl/>
        </w:rPr>
        <w:t xml:space="preserve">ניתן היום,  </w:t>
      </w:r>
      <w:sdt>
        <w:sdtPr>
          <w:rPr>
            <w:sz w:val="22"/>
            <w:szCs w:val="22"/>
            <w:rtl/>
          </w:rPr>
          <w:alias w:val="1455"/>
          <w:tag w:val="1455"/>
          <w:id w:val="550738450"/>
          <w:text w:multiLine="1"/>
        </w:sdtPr>
        <w:sdtEndPr/>
        <w:sdtContent>
          <w:r>
            <w:rPr>
              <w:rFonts w:ascii="Arial" w:hAnsi="Arial"/>
              <w:noProof w:val="0"/>
              <w:sz w:val="22"/>
              <w:szCs w:val="22"/>
              <w:rtl/>
            </w:rPr>
            <w:t>ט"ו כסלו תשפ"ד</w:t>
          </w:r>
        </w:sdtContent>
      </w:sdt>
      <w:r w:rsidRPr="00CE0A54">
        <w:rPr>
          <w:rFonts w:ascii="Arial" w:hAnsi="Arial"/>
          <w:noProof w:val="0"/>
          <w:sz w:val="22"/>
          <w:szCs w:val="22"/>
          <w:rtl/>
        </w:rPr>
        <w:t xml:space="preserve">, </w:t>
      </w:r>
      <w:sdt>
        <w:sdtPr>
          <w:rPr>
            <w:sz w:val="22"/>
            <w:szCs w:val="22"/>
            <w:rtl/>
          </w:rPr>
          <w:alias w:val="1456"/>
          <w:tag w:val="1456"/>
          <w:id w:val="213085585"/>
          <w:text w:multiLine="1"/>
        </w:sdtPr>
        <w:sdtEndPr/>
        <w:sdtContent>
          <w:r>
            <w:rPr>
              <w:rFonts w:ascii="Arial" w:hAnsi="Arial"/>
              <w:noProof w:val="0"/>
              <w:sz w:val="22"/>
              <w:szCs w:val="22"/>
              <w:rtl/>
            </w:rPr>
            <w:t>28 נובמבר 2023</w:t>
          </w:r>
        </w:sdtContent>
      </w:sdt>
      <w:r w:rsidRPr="00CE0A54">
        <w:rPr>
          <w:rFonts w:ascii="Arial" w:hAnsi="Arial"/>
          <w:noProof w:val="0"/>
          <w:sz w:val="22"/>
          <w:szCs w:val="22"/>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778254384"/>
        </w:sdtPr>
        <w:sdtEndPr/>
        <w:sdtContent>
          <w:r w:rsidR="001C3AE1">
            <w:drawing>
              <wp:inline distT="0" distB="0" distL="0" distR="0" wp14:editId="50D07946">
                <wp:extent cx="952499"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952499" cy="93345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AE0" w:rsidRDefault="00F22AE0">
      <w:r>
        <w:separator/>
      </w:r>
    </w:p>
  </w:endnote>
  <w:endnote w:type="continuationSeparator" w:id="0">
    <w:p w:rsidR="00F22AE0" w:rsidRDefault="00F2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230" w:rsidRDefault="00BA123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A123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A1230">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230" w:rsidRDefault="00BA123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AE0" w:rsidRDefault="00F22AE0">
      <w:r>
        <w:separator/>
      </w:r>
    </w:p>
  </w:footnote>
  <w:footnote w:type="continuationSeparator" w:id="0">
    <w:p w:rsidR="00F22AE0" w:rsidRDefault="00F2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230" w:rsidRDefault="00BA123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28 נובמבר 2023</w:t>
              </w:r>
            </w:p>
          </w:tc>
        </w:sdtContent>
      </w:sdt>
    </w:tr>
    <w:tr w:rsidR="002914D6">
      <w:trPr>
        <w:trHeight w:val="337"/>
        <w:jc w:val="center"/>
      </w:trPr>
      <w:tc>
        <w:tcPr>
          <w:tcW w:w="8721" w:type="dxa"/>
          <w:gridSpan w:val="2"/>
        </w:tcPr>
        <w:p w:rsidR="002914D6" w:rsidRDefault="00F22AE0" w:rsidP="000A0378">
          <w:pPr>
            <w:rPr>
              <w:b/>
              <w:bCs/>
              <w:noProof w:val="0"/>
              <w:sz w:val="26"/>
              <w:szCs w:val="26"/>
              <w:rtl/>
            </w:rPr>
          </w:pPr>
          <w:sdt>
            <w:sdtPr>
              <w:rPr>
                <w:rtl/>
              </w:rPr>
              <w:alias w:val="1170"/>
              <w:tag w:val="1170"/>
              <w:id w:val="-1240940633"/>
              <w:text w:multiLine="1"/>
            </w:sdtPr>
            <w:sdtEndPr/>
            <w:sdtContent>
              <w:r w:rsidR="00521467">
                <w:rPr>
                  <w:b/>
                  <w:bCs/>
                  <w:noProof w:val="0"/>
                  <w:sz w:val="26"/>
                  <w:szCs w:val="26"/>
                  <w:rtl/>
                </w:rPr>
                <w:t>ע"ר</w:t>
              </w:r>
            </w:sdtContent>
          </w:sdt>
          <w:r w:rsidR="00011212">
            <w:rPr>
              <w:b/>
              <w:bCs/>
              <w:noProof w:val="0"/>
              <w:sz w:val="26"/>
              <w:szCs w:val="26"/>
              <w:rtl/>
            </w:rPr>
            <w:t xml:space="preserve"> </w:t>
          </w:r>
          <w:bookmarkStart w:id="0" w:name="_GoBack"/>
          <w:sdt>
            <w:sdtPr>
              <w:rPr>
                <w:rtl/>
              </w:rPr>
              <w:alias w:val="1171"/>
              <w:tag w:val="1171"/>
              <w:id w:val="-1122917173"/>
              <w:text w:multiLine="1"/>
            </w:sdtPr>
            <w:sdtEndPr/>
            <w:sdtContent>
              <w:r w:rsidR="00521467">
                <w:rPr>
                  <w:b/>
                  <w:bCs/>
                  <w:noProof w:val="0"/>
                  <w:sz w:val="26"/>
                  <w:szCs w:val="26"/>
                  <w:rtl/>
                </w:rPr>
                <w:t>19206-09-23</w:t>
              </w:r>
            </w:sdtContent>
          </w:sdt>
          <w:bookmarkEnd w:id="0"/>
          <w:r w:rsidR="00011212">
            <w:rPr>
              <w:b/>
              <w:bCs/>
              <w:noProof w:val="0"/>
              <w:sz w:val="26"/>
              <w:szCs w:val="26"/>
              <w:rtl/>
            </w:rPr>
            <w:t xml:space="preserve"> </w:t>
          </w:r>
          <w:sdt>
            <w:sdtPr>
              <w:rPr>
                <w:rtl/>
              </w:rPr>
              <w:alias w:val="1172"/>
              <w:tag w:val="1172"/>
              <w:id w:val="1658414112"/>
              <w:text w:multiLine="1"/>
            </w:sdtPr>
            <w:sdtEndPr/>
            <w:sdtContent>
              <w:r w:rsidR="000A0378">
                <w:rPr>
                  <w:rFonts w:hint="cs"/>
                  <w:b/>
                  <w:bCs/>
                  <w:noProof w:val="0"/>
                  <w:sz w:val="26"/>
                  <w:szCs w:val="26"/>
                  <w:rtl/>
                </w:rPr>
                <w:t>פלוני</w:t>
              </w:r>
              <w:r w:rsidR="00521467">
                <w:rPr>
                  <w:b/>
                  <w:bCs/>
                  <w:noProof w:val="0"/>
                  <w:sz w:val="26"/>
                  <w:szCs w:val="26"/>
                  <w:rtl/>
                </w:rPr>
                <w:t xml:space="preserve"> נ' המוסד לביטוח לאומי</w:t>
              </w:r>
            </w:sdtContent>
          </w:sdt>
        </w:p>
        <w:p w:rsidR="002914D6" w:rsidRDefault="002914D6">
          <w:pPr>
            <w:rPr>
              <w:rtl/>
            </w:rPr>
          </w:pPr>
        </w:p>
        <w:p w:rsidR="00746F52" w:rsidRDefault="00746F52">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230" w:rsidRDefault="00BA123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2616C8"/>
    <w:multiLevelType w:val="hybridMultilevel"/>
    <w:tmpl w:val="38EAD7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8818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88185&amp;lt;/CaseID&amp;gt;_x000d__x000a_        &amp;lt;CaseMonth&amp;gt;9&amp;lt;/CaseMonth&amp;gt;_x000d__x000a_        &amp;lt;CaseYear&amp;gt;2023&amp;lt;/CaseYear&amp;gt;_x000d__x000a_        &amp;lt;CaseNumber&amp;gt;19206&amp;lt;/CaseNumber&amp;gt;_x000d__x000a_        &amp;lt;NumeratorGroupID&amp;gt;1&amp;lt;/NumeratorGroupID&amp;gt;_x000d__x000a_        &amp;lt;CaseName&amp;gt;שרון נ&amp;#39; המוסד לביטוח לאומי&amp;lt;/CaseName&amp;gt;_x000d__x000a_        &amp;lt;CourtID&amp;gt;30&amp;lt;/CourtID&amp;gt;_x000d__x000a_        &amp;lt;CaseTypeID&amp;gt;10038&amp;lt;/CaseTypeID&amp;gt;_x000d__x000a_        &amp;lt;CaseInterestID&amp;gt;148&amp;lt;/CaseInterestID&amp;gt;_x000d__x000a_        &amp;lt;CaseJudgeName&amp;gt;ערן שילה&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9206-09-23&amp;lt;/CaseDisplayIdentifier&amp;gt;_x000d__x000a_        &amp;lt;CaseTypeDesc&amp;gt;ע&amp;quot;ר&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9-10T09:43: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ערן&amp;lt;/CaseJudgeFirstName&amp;gt;_x000d__x000a_        &amp;lt;CaseJudgeLastName&amp;gt;שילה&amp;lt;/CaseJudgeLastName&amp;gt;_x000d__x000a_        &amp;lt;JudicalPersonID&amp;gt;03321162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88185&amp;lt;/CaseID&amp;gt;_x000d__x000a_        &amp;lt;CaseMonth&amp;gt;9&amp;lt;/CaseMonth&amp;gt;_x000d__x000a_        &amp;lt;CaseYear&amp;gt;2023&amp;lt;/CaseYear&amp;gt;_x000d__x000a_        &amp;lt;CaseNumber&amp;gt;19206&amp;lt;/CaseNumber&amp;gt;_x000d__x000a_        &amp;lt;NumeratorGroupID&amp;gt;1&amp;lt;/NumeratorGroupID&amp;gt;_x000d__x000a_        &amp;lt;CaseName&amp;gt;שרון נ&amp;#39; המוסד לביטוח לאומי&amp;lt;/CaseName&amp;gt;_x000d__x000a_        &amp;lt;CourtID&amp;gt;30&amp;lt;/CourtID&amp;gt;_x000d__x000a_        &amp;lt;CaseTypeID&amp;gt;10038&amp;lt;/CaseTypeID&amp;gt;_x000d__x000a_        &amp;lt;CaseInterestID&amp;gt;148&amp;lt;/CaseInterestID&amp;gt;_x000d__x000a_        &amp;lt;CaseJudgeName&amp;gt;ערן שילה&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9206-09-23&amp;lt;/CaseDisplayIdentifier&amp;gt;_x000d__x000a_        &amp;lt;CaseTypeDesc&amp;gt;ע&amp;quot;ר&amp;lt;/CaseTypeDesc&amp;gt;_x000d__x000a_        &amp;lt;CourtDesc&amp;gt;שלום ירושלים&amp;lt;/CourtDesc&amp;gt;_x000d__x000a_        &amp;lt;CaseStageDesc&amp;gt;תיק אלקטרוני&amp;lt;/CaseStageDesc&amp;gt;_x000d__x000a_        &amp;lt;CaseNextDeterminingTask&amp;gt;151&amp;lt;/CaseNextDeterminingTask&amp;gt;_x000d__x000a_        &amp;lt;CaseOpenDate&amp;gt;2023-09-10T09:43: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ערן&amp;lt;/CaseJudgeFirstName&amp;gt;_x000d__x000a_        &amp;lt;CaseJudgeLastName&amp;gt;שילה&amp;lt;/CaseJudgeLastName&amp;gt;_x000d__x000a_        &amp;lt;JudicalPersonID&amp;gt;03321162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239831&amp;lt;/DecisionID&amp;gt;_x000d__x000a_        &amp;lt;DecisionName&amp;gt;פסק דין  שניתנה ע&amp;quot;י  ערן שילה&amp;lt;/DecisionName&amp;gt;_x000d__x000a_        &amp;lt;DecisionStatusID&amp;gt;1&amp;lt;/DecisionStatusID&amp;gt;_x000d__x000a_        &amp;lt;DecisionStatusChangeDate&amp;gt;2023-11-27T17:42:47.313+02:00&amp;lt;/DecisionStatusChangeDate&amp;gt;_x000d__x000a_        &amp;lt;DecisionSignatureDate&amp;gt;2023-11-26T23:18:46.21+02:00&amp;lt;/DecisionSignatureDate&amp;gt;_x000d__x000a_        &amp;lt;DecisionSignatureUserID&amp;gt;033211624@GOV.IL&amp;lt;/DecisionSignatureUserID&amp;gt;_x000d__x000a_        &amp;lt;DecisionCreateDate&amp;gt;2023-11-26T23:21:47.707+02:00&amp;lt;/DecisionCreateDate&amp;gt;_x000d__x000a_        &amp;lt;DecisionChangeDate&amp;gt;2023-11-27T17:42:47.39+02:00&amp;lt;/DecisionChangeDate&amp;gt;_x000d__x000a_        &amp;lt;DecisionChangeUserID&amp;gt;03321162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87280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21162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211624@GOV.IL&amp;lt;/DecisionCreationUserID&amp;gt;_x000d__x000a_        &amp;lt;DecisionDisplayName&amp;gt;פסק דין  שניתנה ע&amp;quot;י  ערן שילה&amp;lt;/DecisionDisplayName&amp;gt;_x000d__x000a_        &amp;lt;IsScanned&amp;gt;false&amp;lt;/IsScanned&amp;gt;_x000d__x000a_        &amp;lt;DecisionSignatureUserName&amp;gt;ערן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8239831&amp;lt;/DecisionID&amp;gt;_x000d__x000a_        &amp;lt;CaseID&amp;gt;80588185&amp;lt;/CaseID&amp;gt;_x000d__x000a_        &amp;lt;IsOriginal&amp;gt;true&amp;lt;/IsOriginal&amp;gt;_x000d__x000a_        &amp;lt;IsDeleted&amp;gt;false&amp;lt;/IsDeleted&amp;gt;_x000d__x000a_        &amp;lt;CaseName&amp;gt;שרון נ&amp;#39; המוסד לביטוח לאומי&amp;lt;/CaseName&amp;gt;_x000d__x000a_        &amp;lt;CaseDisplayIdentifier&amp;gt;19206-09-23 ע&amp;quot;ר&amp;lt;/CaseDisplayIdentifier&amp;gt;_x000d__x000a_      &amp;lt;/dt_DecisionCase&amp;gt;_x000d__x000a_    &amp;lt;/DecisionDS&amp;gt;_x000d__x000a_  &amp;lt;/diffgr:diffgram&amp;gt;_x000d__x000a_&amp;lt;/DecisionDS&amp;gt;"/>
    <w:docVar w:name="DecisionID" w:val="148239831"/>
    <w:docVar w:name="WordClientAssemblyName" w:val="NGCS.Decision.ClientWordBL"/>
    <w:docVar w:name="WordClientClassName" w:val="NGCS.Decision.ClientWordBL.DecisionClient"/>
  </w:docVars>
  <w:rsids>
    <w:rsidRoot w:val="002914D6"/>
    <w:rsid w:val="00011212"/>
    <w:rsid w:val="00050430"/>
    <w:rsid w:val="000A0378"/>
    <w:rsid w:val="000A4388"/>
    <w:rsid w:val="000C2F99"/>
    <w:rsid w:val="000C76D5"/>
    <w:rsid w:val="000E7F98"/>
    <w:rsid w:val="00110618"/>
    <w:rsid w:val="00187C26"/>
    <w:rsid w:val="001B509C"/>
    <w:rsid w:val="001C3AE1"/>
    <w:rsid w:val="001C5362"/>
    <w:rsid w:val="001D2291"/>
    <w:rsid w:val="00226AF0"/>
    <w:rsid w:val="0024613F"/>
    <w:rsid w:val="00262D37"/>
    <w:rsid w:val="002914D6"/>
    <w:rsid w:val="002C66B5"/>
    <w:rsid w:val="002F5307"/>
    <w:rsid w:val="003249BF"/>
    <w:rsid w:val="00450635"/>
    <w:rsid w:val="0046743C"/>
    <w:rsid w:val="004900DA"/>
    <w:rsid w:val="00495EC6"/>
    <w:rsid w:val="00521467"/>
    <w:rsid w:val="00522852"/>
    <w:rsid w:val="00537C7D"/>
    <w:rsid w:val="00561B4B"/>
    <w:rsid w:val="005950D8"/>
    <w:rsid w:val="00602FE6"/>
    <w:rsid w:val="00620A51"/>
    <w:rsid w:val="006349B9"/>
    <w:rsid w:val="00671639"/>
    <w:rsid w:val="0069248F"/>
    <w:rsid w:val="006A612D"/>
    <w:rsid w:val="00703D3D"/>
    <w:rsid w:val="00746F52"/>
    <w:rsid w:val="007A7EAA"/>
    <w:rsid w:val="007C0D39"/>
    <w:rsid w:val="008155E7"/>
    <w:rsid w:val="00822AA5"/>
    <w:rsid w:val="00872FCC"/>
    <w:rsid w:val="008757D3"/>
    <w:rsid w:val="0089375C"/>
    <w:rsid w:val="008B7474"/>
    <w:rsid w:val="008E08F7"/>
    <w:rsid w:val="009563A3"/>
    <w:rsid w:val="009702DD"/>
    <w:rsid w:val="009C4074"/>
    <w:rsid w:val="009E673C"/>
    <w:rsid w:val="00A35F83"/>
    <w:rsid w:val="00A62D3C"/>
    <w:rsid w:val="00AF6418"/>
    <w:rsid w:val="00B54BE9"/>
    <w:rsid w:val="00B70EE7"/>
    <w:rsid w:val="00BA1230"/>
    <w:rsid w:val="00BD54EB"/>
    <w:rsid w:val="00BE41F9"/>
    <w:rsid w:val="00C61531"/>
    <w:rsid w:val="00CC306E"/>
    <w:rsid w:val="00CD3CCF"/>
    <w:rsid w:val="00CE0A54"/>
    <w:rsid w:val="00CE6738"/>
    <w:rsid w:val="00CF7D14"/>
    <w:rsid w:val="00D358FE"/>
    <w:rsid w:val="00D54B3A"/>
    <w:rsid w:val="00D71E46"/>
    <w:rsid w:val="00D94112"/>
    <w:rsid w:val="00DB3D75"/>
    <w:rsid w:val="00DB54C4"/>
    <w:rsid w:val="00DC2696"/>
    <w:rsid w:val="00DF74E4"/>
    <w:rsid w:val="00E50BBB"/>
    <w:rsid w:val="00E92D9B"/>
    <w:rsid w:val="00E9711A"/>
    <w:rsid w:val="00E97B60"/>
    <w:rsid w:val="00EC3835"/>
    <w:rsid w:val="00F03998"/>
    <w:rsid w:val="00F20687"/>
    <w:rsid w:val="00F22AE0"/>
    <w:rsid w:val="00F343DF"/>
    <w:rsid w:val="00F36724"/>
    <w:rsid w:val="00F40B5B"/>
    <w:rsid w:val="00F50E07"/>
    <w:rsid w:val="00F66D57"/>
    <w:rsid w:val="00F9100E"/>
    <w:rsid w:val="00FA40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CE0A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049114">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יהודה אדרעי</FullName>
        <FirstName>יהודה</FirstName>
        <LastName>אדרעי</LastName>
        <PartyPropertyName/>
        <AuthenticationTypeAndNumber>מ.ר. 58084</AuthenticationTypeAndNumber>
        <RepresentatedOrRepresentativesNames xml:space="preserve"> </RepresentatedOrRepresentativesNames>
        <RepresentatedOrRepresentativesCount>1</RepresentatedOrRepresentativesCount>
        <InvitedBy/>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260999928</CasePartyID>
        <PartyTypeID>2</PartyTypeID>
        <ActivityStatusID>1</ActivityStatusID>
        <PartyAliasID>23</PartyAliasID>
        <PartyAliasName>בא כוח משיבים</PartyAliasName>
        <LegalEntityID>75125184</LegalEntityID>
        <CaseLegalEntityID>126083204</CaseLegalEntityID>
        <AuthenticationTypeID>4</AuthenticationTypeID>
        <AuthenticationTypeName>מ.ר.</AuthenticationTypeName>
        <LegalEntityNumber>58084</LegalEntityNumber>
        <IsMainPartyType>true</IsMainPartyType>
        <CaseDisplayIdentifier>19206-09-23</CaseDisplayIdentifier>
        <CaseTypeID>10038</CaseTypeID>
        <CaseTypeName>ערעור על החלטת רשם (ע"ר)</CaseTypeName>
        <CaseName>שרון נ' המוסד לביטוח לאומי</CaseName>
        <FullAddress>שד' ויצמן 13 ירושלים </FullAddress>
        <EmailAddress>saritd@nioi.gov.il</EmailAddress>
        <MotionID>0</MotionID>
        <CasePleaID>0</CasePleaID>
        <LinkedCaseID>0</LinkedCaseID>
        <PartyID>2</PartyID>
        <CasePartyCategoryID>2</CasePartyCategoryID>
        <LegalEntityAddressID>80270987</LegalEntityAddressID>
        <LegalEntityEmailAddressID>68076661</LegalEntityEmailAddressID>
        <PleaTypeID>6</PleaTypeID>
        <LawyerOfficeName>המוסד לביטוח לאומי - הלשכה המשפטית משרד ראשי - פש"ר</LawyerOfficeName>
        <LawyerOfficeID>76569455</LawyerOfficeID>
        <GroupPartyAlias/>
        <IsConverted>false</IsConverted>
        <LegalEntityNameID>81322718</LegalEntityNameID>
        <RepresentatedNamesOfAssistant/>
        <LegalEntityTypeID>4</LegalEntityTypeID>
        <IsVerdictExists>false</IsVerdictExists>
        <IsAsirAzir>false</IsAsirAzir>
        <IsPublicationProhibited>false</IsPublicationProhibited>
        <PublicationProhibitedFullName>יהודה אדרעי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אסף שרון</FullName>
        <FirstName>אסף</FirstName>
        <LastName>שרון</LastName>
        <PartyPropertyName/>
        <AuthenticationTypeAndNumber>ת"ז 053592564</AuthenticationTypeAndNumber>
        <RepresentatedOrRepresentativesNames>ענת הילה לגטיוי</RepresentatedOrRepresentativesNames>
        <RepresentatedOrRepresentativesCount>1</RepresentatedOrRepresentativesCount>
        <InvitedBy/>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260338924</CasePartyID>
        <PartyTypeID>1</PartyTypeID>
        <ActivityStatusID>1</ActivityStatusID>
        <PartyAliasID>5</PartyAliasID>
        <PartyAliasName>מערער</PartyAliasName>
        <OrdinalNumber>1</OrdinalNumber>
        <LegalEntityID>46291043</LegalEntityID>
        <CaseLegalEntityID>125871923</CaseLegalEntityID>
        <AuthenticationTypeID>1</AuthenticationTypeID>
        <AuthenticationTypeName>ת"ז</AuthenticationTypeName>
        <LegalEntityNumber>053592564</LegalEntityNumber>
        <IsMainPartyType>true</IsMainPartyType>
        <CaseDisplayIdentifier>19206-09-23</CaseDisplayIdentifier>
        <CaseTypeID>10038</CaseTypeID>
        <CaseTypeName>ערעור על החלטת רשם (ע"ר)</CaseTypeName>
        <CaseName>שרון נ' המוסד לביטוח לאומי</CaseName>
        <FullAddress/>
        <MotionID>0</MotionID>
        <CasePleaID>0</CasePleaID>
        <FatherName>אליהו</FatherName>
        <LinkedCaseID>0</LinkedCaseID>
        <PartyID>1</PartyID>
        <CasePartyCategoryID>2</CasePartyCategoryID>
        <PleaTypeID>6</PleaTypeID>
        <GroupPartyAlias>מערערים</GroupPartyAlias>
        <IsConverted>false</IsConverted>
        <LegalEntityRegisteredNameID>10483859</LegalEntityRegisteredNameID>
        <LegalEntityNameID>95440707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שרון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ענת הילה לגטיוי</FullName>
        <FirstName>ענת הילה</FirstName>
        <LastName>לגטיוי</LastName>
        <PartyPropertyName/>
        <AuthenticationTypeAndNumber>מ.ר. 91785</AuthenticationTypeAndNumber>
        <RepresentatedOrRepresentativesNames>אסף שרון</RepresentatedOrRepresentativesNames>
        <RepresentatedOrRepresentativesCount>1</RepresentatedOrRepresentativesCount>
        <InvitedBy/>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260338925</CasePartyID>
        <PartyTypeID>2</PartyTypeID>
        <ActivityStatusID>1</ActivityStatusID>
        <PartyAliasID>24</PartyAliasID>
        <PartyAliasName>בא כוח מערערים</PartyAliasName>
        <OrdinalNumber>1</OrdinalNumber>
        <LegalEntityID>80411717</LegalEntityID>
        <CaseLegalEntityID>125871924</CaseLegalEntityID>
        <AuthenticationTypeID>4</AuthenticationTypeID>
        <AuthenticationTypeName>מ.ר.</AuthenticationTypeName>
        <LegalEntityNumber>91785</LegalEntityNumber>
        <IsMainPartyType>true</IsMainPartyType>
        <CaseDisplayIdentifier>19206-09-23</CaseDisplayIdentifier>
        <CaseTypeID>10038</CaseTypeID>
        <CaseTypeName>ערעור על החלטת רשם (ע"ר)</CaseTypeName>
        <CaseName>שרון נ' המוסד לביטוח לאומי</CaseName>
        <FullAddress>אירוס 9/4 גבעת זאב </FullAddress>
        <MotionID>0</MotionID>
        <CasePleaID>0</CasePleaID>
        <LinkedCaseID>0</LinkedCaseID>
        <PartyID>1</PartyID>
        <CasePartyCategoryID>2</CasePartyCategoryID>
        <LegalEntityAddressID>86351028</LegalEntityAddressID>
        <PleaTypeID>6</PleaTypeID>
        <LawyerOfficeName>משרד עו"ד ענת הילה  לגטיוי</LawyerOfficeName>
        <LawyerOfficeID>80411718</LawyerOfficeID>
        <GroupPartyAlias/>
        <IsConverted>false</IsConverted>
        <LegalEntityNameID>92905291</LegalEntityNameID>
        <RepresentatedNamesOfAssistant/>
        <LegalEntityTypeID>4</LegalEntityTypeID>
        <IsVerdictExists>false</IsVerdictExists>
        <IsAsirAzir>false</IsAsirAzir>
        <IsPublicationProhibited>false</IsPublicationProhibited>
        <PublicationProhibitedFullName>ענת הילה לגטיוי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המוסד לביטוח לאומי</FullName>
        <LastName>המוסד לביטוח לאומי</LastName>
        <PartyPropertyName/>
        <AuthenticationTypeAndNumber>גופים על פי דין 513436494</AuthenticationTypeAndNumber>
        <RepresentatedOrRepresentativesNames>יהודה אדרעי</RepresentatedOrRepresentativesNames>
        <RepresentatedOrRepresentativesCount>1</RepresentatedOrRepresentativesCount>
        <InvitedBy/>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260338926</CasePartyID>
        <PartyTypeID>1</PartyTypeID>
        <ActivityStatusID>1</ActivityStatusID>
        <PartyAliasID>4</PartyAliasID>
        <PartyAliasName>משיב</PartyAliasName>
        <OrdinalNumber>1</OrdinalNumber>
        <LegalEntityID>4910</LegalEntityID>
        <CaseLegalEntityID>125871925</CaseLegalEntityID>
        <AuthenticationTypeID>17</AuthenticationTypeID>
        <AuthenticationTypeName>גופים על פי דין</AuthenticationTypeName>
        <LegalEntityNumber>513436494</LegalEntityNumber>
        <IsMainPartyType>true</IsMainPartyType>
        <CaseDisplayIdentifier>19206-09-23</CaseDisplayIdentifier>
        <CaseTypeID>10038</CaseTypeID>
        <CaseTypeName>ערעור על החלטת רשם (ע"ר)</CaseTypeName>
        <CaseName>שרון נ' המוסד לביטוח לאומי</CaseName>
        <FullAddress>שד' ויצמן 13 ירושלים </FullAddress>
        <MotionID>0</MotionID>
        <CasePleaID>0</CasePleaID>
        <LinkedCaseID>0</LinkedCaseID>
        <PartyID>2</PartyID>
        <CasePartyCategoryID>2</CasePartyCategoryID>
        <LegalEntityAddressID>84932943</LegalEntityAddressID>
        <PleaTypeID>6</PleaTypeID>
        <GroupPartyAlias>משיבים</GroupPartyAlias>
        <IsConverted>false</IsConverted>
        <LegalEntityRegisteredNameID>2518956</LegalEntityRegisteredNameID>
        <RepresentatedNamesOfAssistant/>
        <LegalEntityTypeID>3</LegalEntityTypeID>
        <IsVerdictExists>false</IsVerdictExists>
        <IsAsirAzir>false</IsAsirAzir>
        <IsPublicationProhibited>false</IsPublicationProhibited>
        <PublicationProhibitedFullName>המוסד לביטוח לאומי</PublicationProhibitedFullName>
      </CaseParties>
    </CasePartiesSelectionDS>
    <DecisionName>פסק דין  שניתנה ע"י  ערן שילה</DecisionName>
    <CourtDisplayName>בית משפט לענייני משפחה בירושלים</CourtDisplayName>
    <IsCaseJudgePanel>false</IsCaseJudgePanel>
    <DecisionSignatureDate>2023-11-26T23:18:46.2099111+02:00</DecisionSignatureDate>
    <OpenCaseDate>2023-09-10T09:43:00+03:00</OpenCaseDate>
    <CaseFeeSum>0.000</CaseFeeSum>
    <ExternalCaseNumber>0300075979</ExternalCaseNumber>
    <DecisionTypeID>2</DecisionTypeID>
    <DecisionSignatureUserName>ערן שילה</DecisionSignatureUserName>
    <DecisionSignatureDateHebrew>2023-11-26T23:18:46.2099111+02:00</DecisionSignatureDateHebrew>
    <DecisionWriterID>033211624@GOV.IL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שרון נ' המוסד לביטוח לאומי</CaseName>
    <DecisionNumberInCase>8</DecisionNumberInCase>
  </dt_Decision>
  <dt_DecisionCase>
    <DecisionID>0</DecisionID>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יהודה אדרעי</FullName>
        <FirstName>יהודה</FirstName>
        <LastName>אדרעי</LastName>
        <PartyPropertyName/>
        <AuthenticationTypeAndNumber>מ.ר. 58084</AuthenticationTypeAndNumber>
        <RepresentatedOrRepresentativesNames xml:space="preserve"> </RepresentatedOrRepresentativesNames>
        <RepresentatedOrRepresentativesCount>1</RepresentatedOrRepresentativesCount>
        <InvitedBy/>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260999928</CasePartyID>
        <PartyTypeID>2</PartyTypeID>
        <ActivityStatusID>1</ActivityStatusID>
        <PartyAliasID>23</PartyAliasID>
        <PartyAliasName>בא כוח משיבים</PartyAliasName>
        <LegalEntityID>75125184</LegalEntityID>
        <CaseLegalEntityID>126083204</CaseLegalEntityID>
        <AuthenticationTypeID>4</AuthenticationTypeID>
        <AuthenticationTypeName>מ.ר.</AuthenticationTypeName>
        <LegalEntityNumber>58084</LegalEntityNumber>
        <IsMainPartyType>true</IsMainPartyType>
        <CaseDisplayIdentifier>19206-09-23</CaseDisplayIdentifier>
        <CaseTypeID>10038</CaseTypeID>
        <CaseTypeName>ערעור על החלטת רשם (ע"ר)</CaseTypeName>
        <CaseName>שרון נ' המוסד לביטוח לאומי</CaseName>
        <FullAddress>שד' ויצמן 13 ירושלים </FullAddress>
        <EmailAddress>saritd@nioi.gov.il</EmailAddress>
        <MotionID>0</MotionID>
        <CasePleaID>0</CasePleaID>
        <LinkedCaseID>0</LinkedCaseID>
        <PartyID>2</PartyID>
        <CasePartyCategoryID>2</CasePartyCategoryID>
        <LegalEntityAddressID>80270987</LegalEntityAddressID>
        <LegalEntityEmailAddressID>68076661</LegalEntityEmailAddressID>
        <PleaTypeID>6</PleaTypeID>
        <LawyerOfficeName>המוסד לביטוח לאומי - הלשכה המשפטית משרד ראשי - פש"ר</LawyerOfficeName>
        <LawyerOfficeID>76569455</LawyerOfficeID>
        <GroupPartyAlias/>
        <IsConverted>false</IsConverted>
        <LegalEntityNameID>81322718</LegalEntityNameID>
        <RepresentatedNamesOfAssistant/>
        <LegalEntityTypeID>4</LegalEntityTypeID>
        <IsVerdictExists>false</IsVerdictExists>
        <IsAsirAzir>false</IsAsirAzir>
        <IsPublicationProhibited>false</IsPublicationProhibited>
        <PublicationProhibitedFullName>יהודה אדרעי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אסף שרון</FullName>
        <FirstName>אסף</FirstName>
        <LastName>שרון</LastName>
        <PartyPropertyName/>
        <AuthenticationTypeAndNumber>ת"ז 053592564</AuthenticationTypeAndNumber>
        <RepresentatedOrRepresentativesNames>ענת הילה לגטיוי</RepresentatedOrRepresentativesNames>
        <RepresentatedOrRepresentativesCount>1</RepresentatedOrRepresentativesCount>
        <InvitedBy/>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260338924</CasePartyID>
        <PartyTypeID>1</PartyTypeID>
        <ActivityStatusID>1</ActivityStatusID>
        <PartyAliasID>5</PartyAliasID>
        <PartyAliasName>מערער</PartyAliasName>
        <OrdinalNumber>1</OrdinalNumber>
        <LegalEntityID>46291043</LegalEntityID>
        <CaseLegalEntityID>125871923</CaseLegalEntityID>
        <AuthenticationTypeID>1</AuthenticationTypeID>
        <AuthenticationTypeName>ת"ז</AuthenticationTypeName>
        <LegalEntityNumber>053592564</LegalEntityNumber>
        <IsMainPartyType>true</IsMainPartyType>
        <CaseDisplayIdentifier>19206-09-23</CaseDisplayIdentifier>
        <CaseTypeID>10038</CaseTypeID>
        <CaseTypeName>ערעור על החלטת רשם (ע"ר)</CaseTypeName>
        <CaseName>שרון נ' המוסד לביטוח לאומי</CaseName>
        <FullAddress/>
        <MotionID>0</MotionID>
        <CasePleaID>0</CasePleaID>
        <FatherName>אליהו</FatherName>
        <LinkedCaseID>0</LinkedCaseID>
        <PartyID>1</PartyID>
        <CasePartyCategoryID>2</CasePartyCategoryID>
        <PleaTypeID>6</PleaTypeID>
        <GroupPartyAlias>מערערים</GroupPartyAlias>
        <IsConverted>false</IsConverted>
        <LegalEntityRegisteredNameID>10483859</LegalEntityRegisteredNameID>
        <LegalEntityNameID>95440707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שרון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ענת הילה לגטיוי</FullName>
        <FirstName>ענת הילה</FirstName>
        <LastName>לגטיוי</LastName>
        <PartyPropertyName/>
        <AuthenticationTypeAndNumber>מ.ר. 91785</AuthenticationTypeAndNumber>
        <RepresentatedOrRepresentativesNames>אסף שרון</RepresentatedOrRepresentativesNames>
        <RepresentatedOrRepresentativesCount>1</RepresentatedOrRepresentativesCount>
        <InvitedBy/>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260338925</CasePartyID>
        <PartyTypeID>2</PartyTypeID>
        <ActivityStatusID>1</ActivityStatusID>
        <PartyAliasID>24</PartyAliasID>
        <PartyAliasName>בא כוח מערערים</PartyAliasName>
        <OrdinalNumber>1</OrdinalNumber>
        <LegalEntityID>80411717</LegalEntityID>
        <CaseLegalEntityID>125871924</CaseLegalEntityID>
        <AuthenticationTypeID>4</AuthenticationTypeID>
        <AuthenticationTypeName>מ.ר.</AuthenticationTypeName>
        <LegalEntityNumber>91785</LegalEntityNumber>
        <IsMainPartyType>true</IsMainPartyType>
        <CaseDisplayIdentifier>19206-09-23</CaseDisplayIdentifier>
        <CaseTypeID>10038</CaseTypeID>
        <CaseTypeName>ערעור על החלטת רשם (ע"ר)</CaseTypeName>
        <CaseName>שרון נ' המוסד לביטוח לאומי</CaseName>
        <FullAddress>אירוס 9/4 גבעת זאב </FullAddress>
        <MotionID>0</MotionID>
        <CasePleaID>0</CasePleaID>
        <LinkedCaseID>0</LinkedCaseID>
        <PartyID>1</PartyID>
        <CasePartyCategoryID>2</CasePartyCategoryID>
        <LegalEntityAddressID>86351028</LegalEntityAddressID>
        <PleaTypeID>6</PleaTypeID>
        <LawyerOfficeName>משרד עו"ד ענת הילה  לגטיוי</LawyerOfficeName>
        <LawyerOfficeID>80411718</LawyerOfficeID>
        <GroupPartyAlias/>
        <IsConverted>false</IsConverted>
        <LegalEntityNameID>92905291</LegalEntityNameID>
        <RepresentatedNamesOfAssistant/>
        <LegalEntityTypeID>4</LegalEntityTypeID>
        <IsVerdictExists>false</IsVerdictExists>
        <IsAsirAzir>false</IsAsirAzir>
        <IsPublicationProhibited>false</IsPublicationProhibited>
        <PublicationProhibitedFullName>ענת הילה לגטיוי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המוסד לביטוח לאומי</FullName>
        <LastName>המוסד לביטוח לאומי</LastName>
        <PartyPropertyName/>
        <AuthenticationTypeAndNumber>גופים על פי דין 513436494</AuthenticationTypeAndNumber>
        <RepresentatedOrRepresentativesNames>יהודה אדרעי</RepresentatedOrRepresentativesNames>
        <RepresentatedOrRepresentativesCount>1</RepresentatedOrRepresentativesCount>
        <InvitedBy/>
        <CaseID>80588185</CaseID>
        <CaseJudicialPersonPresentationDS>
          <CaseJudicalPersonActive>
            <CaseID>80588185</CaseID>
            <JudicialPersonID>033211624@GOV.IL</JudicialPersonID>
            <JudicialPersonTypeID>1</JudicialPersonTypeID>
            <JudicialTypeID>1</JudicialTypeID>
            <IsChairman>false</IsChairman>
            <TreatmentStartDate>2023-09-10T11:15:03.093+03:00</TreatmentStartDate>
            <TreatmentFinishDate>9999-12-31T23:59:59.997+02:00</TreatmentFinishDate>
            <IdentificationCardNumber>033211624</IdentificationCardNumber>
            <DisplayName>ערן שילה</DisplayName>
            <JudicialTypeName>שופט</JudicialTypeName>
            <CaseJudicialGroupNumber>0</CaseJudicialGroupNumber>
            <FirstName>ערן</FirstName>
            <LastName>שילה</LastName>
            <JudicialPersonTitle>שופט</JudicialPersonTitle>
          </CaseJudicalPersonActive>
        </CaseJudicialPersonPresentationDS>
        <CasePartyID>260338926</CasePartyID>
        <PartyTypeID>1</PartyTypeID>
        <ActivityStatusID>1</ActivityStatusID>
        <PartyAliasID>4</PartyAliasID>
        <PartyAliasName>משיב</PartyAliasName>
        <OrdinalNumber>1</OrdinalNumber>
        <LegalEntityID>4910</LegalEntityID>
        <CaseLegalEntityID>125871925</CaseLegalEntityID>
        <AuthenticationTypeID>17</AuthenticationTypeID>
        <AuthenticationTypeName>גופים על פי דין</AuthenticationTypeName>
        <LegalEntityNumber>513436494</LegalEntityNumber>
        <IsMainPartyType>true</IsMainPartyType>
        <CaseDisplayIdentifier>19206-09-23</CaseDisplayIdentifier>
        <CaseTypeID>10038</CaseTypeID>
        <CaseTypeName>ערעור על החלטת רשם (ע"ר)</CaseTypeName>
        <CaseName>שרון נ' המוסד לביטוח לאומי</CaseName>
        <FullAddress>שד' ויצמן 13 ירושלים </FullAddress>
        <MotionID>0</MotionID>
        <CasePleaID>0</CasePleaID>
        <LinkedCaseID>0</LinkedCaseID>
        <PartyID>2</PartyID>
        <CasePartyCategoryID>2</CasePartyCategoryID>
        <LegalEntityAddressID>84932943</LegalEntityAddressID>
        <PleaTypeID>6</PleaTypeID>
        <GroupPartyAlias>משיבים</GroupPartyAlias>
        <IsConverted>false</IsConverted>
        <LegalEntityRegisteredNameID>2518956</LegalEntityRegisteredNameID>
        <RepresentatedNamesOfAssistant/>
        <LegalEntityTypeID>3</LegalEntityTypeID>
        <IsVerdictExists>false</IsVerdictExists>
        <IsAsirAzir>false</IsAsirAzir>
        <IsPublicationProhibited>false</IsPublicationProhibited>
        <PublicationProhibitedFullName>המוסד לביטוח לאומי</PublicationProhibitedFullName>
      </CaseParties>
    </CasePartiesSelectionDS>
    <CaseName>שרון נ' המוסד לביטוח לאומי</CaseName>
    <CaseDisplayIdentifier>19206-09-23</CaseDisplayIdentifier>
    <CaseInterestID>148</CaseInterestID>
    <CaseTypeShortName>ע"ר</CaseTypeShortName>
  </dt_DecisionCase>
  <dt_DecisionJudgePanel>
    <JudgeID>033211624@GOV.IL</JudgeID>
    <DisplayName>ערן שילה</DisplayName>
    <RoleName>שופט</RoleName>
    <UserTitleName>שופט</UserTitleName>
  </dt_DecisionJudgePanel>
  <dt_LegalEntityDetails>
    <Fax>02-6510010</Fax>
    <PartyID>2</PartyID>
    <PartyTypeID>2</PartyTypeID>
    <DecisionID>0</DecisionID>
    <StreetName>שד' ויצמן 13</StreetName>
    <CityName>ירושלים</CityName>
    <FullName>יהודה  אדרעי </FullName>
    <Email>saritd@nioi.gov.il</Email>
    <IsPublicationProhibited>false</IsPublicationProhibited>
  </dt_LegalEntityDetails>
  <dt_LegalEntityDetails>
    <PartyID>1</PartyID>
    <PartyTypeID>1</PartyTypeID>
    <DecisionID>0</DecisionID>
    <IsPublicationProhibited>false</IsPublicationProhibited>
  </dt_LegalEntityDetails>
  <dt_LegalEntityDetails>
    <Fax>02-5360880</Fax>
    <Phone>02-5360880</Phone>
    <PartyID>1</PartyID>
    <PartyTypeID>2</PartyTypeID>
    <DecisionID>0</DecisionID>
    <StreetName>אירוס 9/4</StreetName>
    <ZipCode>9094232</ZipCode>
    <CityName>גבעת זאב</CityName>
    <FullName>ענת הילה  לגטיוי</FullName>
    <Email>anatleg.adv@gmail.com</Email>
    <IsPublicationProhibited>false</IsPublicationProhibited>
  </dt_LegalEntityDetails>
  <dt_LegalEntityDetails>
    <PartyID>2</PartyID>
    <PartyTypeID>1</PartyTypeID>
    <DecisionID>0</DecisionID>
    <StreetName>שד' ויצמן 13</StreetName>
    <ZipCode>95437</ZipCode>
    <CityName>ירושלים</CityName>
    <FullName> המוסד לביטוח לאומי</FullName>
    <Email>koness@nioni.gov.il</Email>
    <IsPublicationProhibited>false</IsPublicationProhibited>
  </dt_LegalEntityDetails>
  <dt_CaseJudicalPersonActive>
    <CaseJudicalPerson>שופט ערן שילה</CaseJudicalPerson>
  </dt_CaseJudicalPersonActive>
  <dt_Sitting/>
</DecisionTemplateDS>
</file>

<file path=customXml/itemProps1.xml><?xml version="1.0" encoding="utf-8"?>
<ds:datastoreItem xmlns:ds="http://schemas.openxmlformats.org/officeDocument/2006/customXml" ds:itemID="{B9515D78-06E0-42E6-A8D4-B4DC6377A7B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6321</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2023-11-28T14:50:00Z</cp:lastPrinted>
  <dcterms:created xsi:type="dcterms:W3CDTF">2023-11-29T08:12:00Z</dcterms:created>
  <dcterms:modified xsi:type="dcterms:W3CDTF">2023-11-29T08:12:00Z</dcterms:modified>
</cp:coreProperties>
</file>